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header1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10C9" w:rsidRPr="000472DA" w:rsidRDefault="005010C9" w:rsidP="005010C9">
      <w:pPr>
        <w:spacing w:before="24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832"/>
        <w:gridCol w:w="4302"/>
      </w:tblGrid>
      <w:tr w:rsidR="005010C9" w:rsidRPr="000472DA" w:rsidTr="0057015C">
        <w:trPr>
          <w:cantSplit/>
          <w:trHeight w:val="1379"/>
        </w:trPr>
        <w:tc>
          <w:tcPr>
            <w:tcW w:w="5832" w:type="dxa"/>
          </w:tcPr>
          <w:p w:rsidR="005010C9" w:rsidRPr="000472DA" w:rsidRDefault="00BA3E29" w:rsidP="00C74E75">
            <w:pPr>
              <w:rPr>
                <w:sz w:val="22"/>
                <w:szCs w:val="22"/>
              </w:rPr>
            </w:pPr>
            <w:r>
              <w:rPr>
                <w:sz w:val="22"/>
                <w:szCs w:val="22"/>
              </w:rPr>
              <w:t>Palm Beach County Water Utilities Department</w:t>
            </w:r>
          </w:p>
          <w:p w:rsidR="005010C9" w:rsidRPr="00BA3E29" w:rsidRDefault="00C9776F" w:rsidP="00C74E75">
            <w:pPr>
              <w:rPr>
                <w:sz w:val="22"/>
                <w:szCs w:val="22"/>
              </w:rPr>
            </w:pPr>
            <w:r>
              <w:rPr>
                <w:sz w:val="22"/>
                <w:szCs w:val="22"/>
              </w:rPr>
              <w:t>8100 Forest Hill Boulevard</w:t>
            </w:r>
          </w:p>
          <w:p w:rsidR="005010C9" w:rsidRPr="000472DA" w:rsidRDefault="00BA3E29" w:rsidP="0057015C">
            <w:pPr>
              <w:tabs>
                <w:tab w:val="center" w:pos="3168"/>
                <w:tab w:val="left" w:pos="3240"/>
                <w:tab w:val="left" w:pos="3615"/>
              </w:tabs>
              <w:spacing w:after="120"/>
              <w:rPr>
                <w:sz w:val="22"/>
                <w:szCs w:val="22"/>
              </w:rPr>
            </w:pPr>
            <w:r w:rsidRPr="00BA3E29">
              <w:rPr>
                <w:sz w:val="22"/>
                <w:szCs w:val="22"/>
              </w:rPr>
              <w:t>West Palm Beach, FL  33413</w:t>
            </w:r>
          </w:p>
          <w:p w:rsidR="005010C9" w:rsidRPr="002C1D42" w:rsidRDefault="005010C9" w:rsidP="00C74E75">
            <w:pPr>
              <w:rPr>
                <w:sz w:val="22"/>
                <w:szCs w:val="22"/>
              </w:rPr>
            </w:pPr>
            <w:r>
              <w:rPr>
                <w:sz w:val="22"/>
                <w:szCs w:val="22"/>
              </w:rPr>
              <w:t>Authorized Representative</w:t>
            </w:r>
            <w:r w:rsidRPr="002C1D42">
              <w:rPr>
                <w:sz w:val="22"/>
                <w:szCs w:val="22"/>
              </w:rPr>
              <w:t>:</w:t>
            </w:r>
          </w:p>
          <w:p w:rsidR="005010C9" w:rsidRPr="000472DA" w:rsidRDefault="009252F5" w:rsidP="00C74E75">
            <w:pPr>
              <w:ind w:left="360"/>
              <w:rPr>
                <w:sz w:val="22"/>
                <w:szCs w:val="22"/>
              </w:rPr>
            </w:pPr>
            <w:r>
              <w:rPr>
                <w:sz w:val="22"/>
                <w:szCs w:val="22"/>
              </w:rPr>
              <w:t>Hassan Hadjimiry, P.E., Deputy Director</w:t>
            </w:r>
          </w:p>
        </w:tc>
        <w:tc>
          <w:tcPr>
            <w:tcW w:w="4302" w:type="dxa"/>
          </w:tcPr>
          <w:p w:rsidR="005010C9" w:rsidRPr="000472DA" w:rsidRDefault="005010C9" w:rsidP="0057015C">
            <w:pPr>
              <w:jc w:val="right"/>
              <w:rPr>
                <w:sz w:val="22"/>
                <w:szCs w:val="22"/>
              </w:rPr>
            </w:pPr>
            <w:r w:rsidRPr="000472DA">
              <w:rPr>
                <w:sz w:val="22"/>
                <w:szCs w:val="22"/>
              </w:rPr>
              <w:t xml:space="preserve">Air Permit No. </w:t>
            </w:r>
            <w:r w:rsidR="00B01355">
              <w:rPr>
                <w:sz w:val="22"/>
                <w:szCs w:val="22"/>
              </w:rPr>
              <w:t>0990347-012</w:t>
            </w:r>
            <w:r w:rsidRPr="00725EF3">
              <w:rPr>
                <w:sz w:val="22"/>
                <w:szCs w:val="22"/>
              </w:rPr>
              <w:t>-A</w:t>
            </w:r>
            <w:r>
              <w:rPr>
                <w:sz w:val="22"/>
                <w:szCs w:val="22"/>
              </w:rPr>
              <w:t>F</w:t>
            </w:r>
          </w:p>
          <w:p w:rsidR="005010C9" w:rsidRDefault="005010C9" w:rsidP="0057015C">
            <w:pPr>
              <w:jc w:val="right"/>
              <w:rPr>
                <w:sz w:val="22"/>
                <w:szCs w:val="22"/>
                <w:highlight w:val="yellow"/>
              </w:rPr>
            </w:pPr>
            <w:r w:rsidRPr="009B2731">
              <w:rPr>
                <w:sz w:val="22"/>
                <w:szCs w:val="22"/>
              </w:rPr>
              <w:t>Federally Enforceable State Operation Permit</w:t>
            </w:r>
          </w:p>
          <w:p w:rsidR="005010C9" w:rsidRPr="000472DA" w:rsidRDefault="00BA3E29" w:rsidP="0057015C">
            <w:pPr>
              <w:jc w:val="right"/>
              <w:rPr>
                <w:sz w:val="22"/>
                <w:szCs w:val="22"/>
              </w:rPr>
            </w:pPr>
            <w:r>
              <w:rPr>
                <w:sz w:val="22"/>
                <w:szCs w:val="22"/>
              </w:rPr>
              <w:t>Southern Region Water Reclamation Facility</w:t>
            </w:r>
          </w:p>
          <w:p w:rsidR="005010C9" w:rsidRPr="000472DA" w:rsidRDefault="00B01355" w:rsidP="0057015C">
            <w:pPr>
              <w:jc w:val="right"/>
              <w:rPr>
                <w:b/>
                <w:bCs/>
                <w:sz w:val="22"/>
                <w:szCs w:val="22"/>
              </w:rPr>
            </w:pPr>
            <w:r>
              <w:rPr>
                <w:sz w:val="22"/>
                <w:szCs w:val="22"/>
              </w:rPr>
              <w:t>Palm Beach</w:t>
            </w:r>
            <w:r w:rsidR="005010C9" w:rsidRPr="00431B1F">
              <w:rPr>
                <w:sz w:val="22"/>
                <w:szCs w:val="22"/>
              </w:rPr>
              <w:t xml:space="preserve"> County</w:t>
            </w:r>
            <w:r w:rsidR="005010C9">
              <w:rPr>
                <w:sz w:val="22"/>
                <w:szCs w:val="22"/>
              </w:rPr>
              <w:t>, Florida</w:t>
            </w:r>
          </w:p>
        </w:tc>
      </w:tr>
    </w:tbl>
    <w:p w:rsidR="00620F6C" w:rsidRPr="00620F6C" w:rsidRDefault="00620F6C" w:rsidP="0057015C">
      <w:pPr>
        <w:pStyle w:val="BodyTextIndent"/>
        <w:ind w:firstLine="0"/>
        <w:rPr>
          <w:b/>
          <w:sz w:val="22"/>
          <w:szCs w:val="22"/>
        </w:rPr>
      </w:pPr>
      <w:r w:rsidRPr="00620F6C">
        <w:rPr>
          <w:b/>
          <w:sz w:val="22"/>
          <w:szCs w:val="22"/>
        </w:rPr>
        <w:t>PROJECT</w:t>
      </w:r>
    </w:p>
    <w:p w:rsidR="00D619BC" w:rsidRPr="00D619BC" w:rsidRDefault="00F73189" w:rsidP="00620F6C">
      <w:pPr>
        <w:pStyle w:val="BodyTextIndent"/>
        <w:spacing w:before="0"/>
        <w:ind w:firstLine="0"/>
        <w:rPr>
          <w:sz w:val="22"/>
          <w:szCs w:val="22"/>
        </w:rPr>
      </w:pPr>
      <w:r>
        <w:rPr>
          <w:sz w:val="22"/>
          <w:szCs w:val="22"/>
        </w:rPr>
        <w:t xml:space="preserve">This </w:t>
      </w:r>
      <w:r w:rsidR="00095076">
        <w:rPr>
          <w:sz w:val="22"/>
          <w:szCs w:val="22"/>
        </w:rPr>
        <w:t xml:space="preserve">is the final </w:t>
      </w:r>
      <w:r w:rsidR="005010C9" w:rsidRPr="009B2731">
        <w:rPr>
          <w:sz w:val="22"/>
          <w:szCs w:val="22"/>
        </w:rPr>
        <w:t>Federally Enforceable State Operation Permit</w:t>
      </w:r>
      <w:r w:rsidR="00095076">
        <w:rPr>
          <w:sz w:val="22"/>
          <w:szCs w:val="22"/>
        </w:rPr>
        <w:t>, which</w:t>
      </w:r>
      <w:r w:rsidR="00D619BC" w:rsidRPr="00D619BC">
        <w:rPr>
          <w:sz w:val="22"/>
          <w:szCs w:val="22"/>
        </w:rPr>
        <w:t xml:space="preserve"> authoriz</w:t>
      </w:r>
      <w:r w:rsidR="00095076">
        <w:rPr>
          <w:sz w:val="22"/>
          <w:szCs w:val="22"/>
        </w:rPr>
        <w:t>es</w:t>
      </w:r>
      <w:r w:rsidR="003139FA">
        <w:rPr>
          <w:sz w:val="22"/>
          <w:szCs w:val="22"/>
        </w:rPr>
        <w:t xml:space="preserve"> the operation of </w:t>
      </w:r>
      <w:r w:rsidR="00BC4CF2">
        <w:rPr>
          <w:sz w:val="22"/>
          <w:szCs w:val="22"/>
        </w:rPr>
        <w:t>Palm Beach County Southern Region Water Reclamation Facility</w:t>
      </w:r>
      <w:r w:rsidR="00D619BC" w:rsidRPr="00D619BC">
        <w:rPr>
          <w:sz w:val="22"/>
          <w:szCs w:val="22"/>
        </w:rPr>
        <w:t xml:space="preserve">, which is a </w:t>
      </w:r>
      <w:r w:rsidR="00BC4CF2">
        <w:rPr>
          <w:sz w:val="22"/>
          <w:szCs w:val="22"/>
        </w:rPr>
        <w:t xml:space="preserve">Domestic Wastewater Treatment Plant </w:t>
      </w:r>
      <w:r w:rsidR="00D619BC" w:rsidRPr="00D619BC">
        <w:rPr>
          <w:sz w:val="22"/>
          <w:szCs w:val="22"/>
        </w:rPr>
        <w:t xml:space="preserve">(Standard Industrial Classification No. </w:t>
      </w:r>
      <w:r w:rsidR="00BC4CF2">
        <w:rPr>
          <w:sz w:val="22"/>
          <w:szCs w:val="22"/>
        </w:rPr>
        <w:t>4952</w:t>
      </w:r>
      <w:r w:rsidR="00D619BC" w:rsidRPr="00D619BC">
        <w:rPr>
          <w:sz w:val="22"/>
          <w:szCs w:val="22"/>
        </w:rPr>
        <w:t>)</w:t>
      </w:r>
      <w:r w:rsidR="0008760D" w:rsidRPr="00D619BC">
        <w:rPr>
          <w:sz w:val="22"/>
          <w:szCs w:val="22"/>
        </w:rPr>
        <w:t xml:space="preserve">. </w:t>
      </w:r>
      <w:r w:rsidR="0008760D">
        <w:rPr>
          <w:sz w:val="22"/>
          <w:szCs w:val="22"/>
        </w:rPr>
        <w:t xml:space="preserve"> This</w:t>
      </w:r>
      <w:r w:rsidR="00B644A8">
        <w:rPr>
          <w:sz w:val="22"/>
          <w:szCs w:val="22"/>
        </w:rPr>
        <w:t xml:space="preserve"> project </w:t>
      </w:r>
      <w:r w:rsidR="00E1325C">
        <w:rPr>
          <w:sz w:val="22"/>
          <w:szCs w:val="22"/>
        </w:rPr>
        <w:t>renews the federally enforceable state operation permit (FESOP) for the facility</w:t>
      </w:r>
      <w:r w:rsidR="00B644A8">
        <w:rPr>
          <w:sz w:val="22"/>
          <w:szCs w:val="22"/>
        </w:rPr>
        <w:t xml:space="preserve">.  </w:t>
      </w:r>
      <w:r w:rsidR="00D619BC" w:rsidRPr="00D619BC">
        <w:rPr>
          <w:sz w:val="22"/>
          <w:szCs w:val="22"/>
        </w:rPr>
        <w:t xml:space="preserve">The facility </w:t>
      </w:r>
      <w:r w:rsidR="0057015C" w:rsidRPr="00F621A4">
        <w:rPr>
          <w:sz w:val="22"/>
          <w:szCs w:val="22"/>
        </w:rPr>
        <w:t>is</w:t>
      </w:r>
      <w:r w:rsidR="0057015C" w:rsidRPr="00D619BC">
        <w:rPr>
          <w:sz w:val="22"/>
          <w:szCs w:val="22"/>
        </w:rPr>
        <w:t xml:space="preserve"> in</w:t>
      </w:r>
      <w:r w:rsidR="00D619BC" w:rsidRPr="00D619BC">
        <w:rPr>
          <w:sz w:val="22"/>
          <w:szCs w:val="22"/>
        </w:rPr>
        <w:t xml:space="preserve"> </w:t>
      </w:r>
      <w:r w:rsidR="003D5381">
        <w:rPr>
          <w:sz w:val="22"/>
          <w:szCs w:val="22"/>
        </w:rPr>
        <w:t>Palm Beach</w:t>
      </w:r>
      <w:r w:rsidR="00D619BC" w:rsidRPr="00D619BC">
        <w:rPr>
          <w:sz w:val="22"/>
          <w:szCs w:val="22"/>
        </w:rPr>
        <w:t xml:space="preserve"> County at </w:t>
      </w:r>
      <w:r w:rsidR="003D5381">
        <w:rPr>
          <w:sz w:val="22"/>
          <w:szCs w:val="22"/>
        </w:rPr>
        <w:t xml:space="preserve">12751 Hagen Ranch Road </w:t>
      </w:r>
      <w:r w:rsidR="00D619BC" w:rsidRPr="00D619BC">
        <w:rPr>
          <w:sz w:val="22"/>
          <w:szCs w:val="22"/>
        </w:rPr>
        <w:t xml:space="preserve">in </w:t>
      </w:r>
      <w:r w:rsidR="003D5381">
        <w:rPr>
          <w:sz w:val="22"/>
          <w:szCs w:val="22"/>
        </w:rPr>
        <w:t>Boynton Beach</w:t>
      </w:r>
      <w:r w:rsidR="00D619BC" w:rsidRPr="00D619BC">
        <w:rPr>
          <w:sz w:val="22"/>
          <w:szCs w:val="22"/>
        </w:rPr>
        <w:t xml:space="preserve">, Florida.  The UTM coordinates are Zone </w:t>
      </w:r>
      <w:r w:rsidR="00A42E9B">
        <w:rPr>
          <w:sz w:val="22"/>
          <w:szCs w:val="22"/>
        </w:rPr>
        <w:t>17</w:t>
      </w:r>
      <w:r w:rsidR="00D619BC" w:rsidRPr="00D619BC">
        <w:rPr>
          <w:sz w:val="22"/>
          <w:szCs w:val="22"/>
        </w:rPr>
        <w:t>,</w:t>
      </w:r>
      <w:r w:rsidR="00A42E9B">
        <w:rPr>
          <w:sz w:val="22"/>
          <w:szCs w:val="22"/>
        </w:rPr>
        <w:t xml:space="preserve"> 581.85 </w:t>
      </w:r>
      <w:r w:rsidR="00D728B4">
        <w:rPr>
          <w:sz w:val="22"/>
          <w:szCs w:val="22"/>
        </w:rPr>
        <w:t>kilometers</w:t>
      </w:r>
      <w:r w:rsidR="00620F6C">
        <w:rPr>
          <w:sz w:val="22"/>
          <w:szCs w:val="22"/>
        </w:rPr>
        <w:t xml:space="preserve"> (</w:t>
      </w:r>
      <w:r w:rsidR="00D619BC" w:rsidRPr="00D619BC">
        <w:rPr>
          <w:sz w:val="22"/>
          <w:szCs w:val="22"/>
        </w:rPr>
        <w:t>km</w:t>
      </w:r>
      <w:r w:rsidR="00620F6C">
        <w:rPr>
          <w:sz w:val="22"/>
          <w:szCs w:val="22"/>
        </w:rPr>
        <w:t>)</w:t>
      </w:r>
      <w:r w:rsidR="00D619BC" w:rsidRPr="00D619BC">
        <w:rPr>
          <w:sz w:val="22"/>
          <w:szCs w:val="22"/>
        </w:rPr>
        <w:t xml:space="preserve"> East, and </w:t>
      </w:r>
      <w:r w:rsidR="00A42E9B">
        <w:rPr>
          <w:sz w:val="22"/>
          <w:szCs w:val="22"/>
        </w:rPr>
        <w:t>2,929.65</w:t>
      </w:r>
      <w:r w:rsidR="00D619BC" w:rsidRPr="00D619BC">
        <w:rPr>
          <w:sz w:val="22"/>
          <w:szCs w:val="22"/>
        </w:rPr>
        <w:t xml:space="preserve"> km North.  </w:t>
      </w:r>
    </w:p>
    <w:p w:rsidR="00D619BC" w:rsidRDefault="00D728B4" w:rsidP="00D619BC">
      <w:pPr>
        <w:pStyle w:val="BodyTextIndent"/>
        <w:ind w:firstLine="0"/>
        <w:rPr>
          <w:sz w:val="22"/>
          <w:szCs w:val="22"/>
        </w:rPr>
      </w:pPr>
      <w:r w:rsidRPr="00D728B4">
        <w:rPr>
          <w:sz w:val="22"/>
          <w:szCs w:val="22"/>
        </w:rPr>
        <w:t>This final permit is organized into the following sections:  Section 1 (General Information); Section 2 (Administrative Requirements); Section 3 (Emissions Unit Specific Conditions); and Section 4 (Appendices).  Because of the technical nature of the project, the permit contains numerous acronyms and abbreviations, which are defined in Appendix A of Section 4 of this permit.</w:t>
      </w:r>
    </w:p>
    <w:p w:rsidR="006837C2" w:rsidRPr="0090039E" w:rsidRDefault="006837C2" w:rsidP="006837C2">
      <w:pPr>
        <w:widowControl w:val="0"/>
        <w:spacing w:after="120"/>
        <w:rPr>
          <w:sz w:val="22"/>
          <w:szCs w:val="22"/>
        </w:rPr>
      </w:pPr>
      <w:r w:rsidRPr="00D619BC">
        <w:rPr>
          <w:b/>
          <w:sz w:val="22"/>
          <w:szCs w:val="22"/>
        </w:rPr>
        <w:t>Permitting Authority</w:t>
      </w:r>
      <w:r w:rsidRPr="00D619BC">
        <w:rPr>
          <w:sz w:val="22"/>
          <w:szCs w:val="22"/>
        </w:rPr>
        <w:t xml:space="preserve">:  Applications for air </w:t>
      </w:r>
      <w:r w:rsidR="00F621A4">
        <w:rPr>
          <w:sz w:val="22"/>
          <w:szCs w:val="22"/>
        </w:rPr>
        <w:t xml:space="preserve">operation </w:t>
      </w:r>
      <w:r w:rsidRPr="00D619BC">
        <w:rPr>
          <w:sz w:val="22"/>
          <w:szCs w:val="22"/>
        </w:rPr>
        <w:t>permits are subject to review in accordance with the provisions of Chapter 403, Florida Sta</w:t>
      </w:r>
      <w:r w:rsidR="00F621A4">
        <w:rPr>
          <w:sz w:val="22"/>
          <w:szCs w:val="22"/>
        </w:rPr>
        <w:t xml:space="preserve">tutes (F.S.) and Chapters 62-4 and </w:t>
      </w:r>
      <w:r w:rsidRPr="00D619BC">
        <w:rPr>
          <w:sz w:val="22"/>
          <w:szCs w:val="22"/>
        </w:rPr>
        <w:t xml:space="preserve">62-210 of the Florida Administrative Code (F.A.C.).  </w:t>
      </w:r>
      <w:r w:rsidR="00A47453" w:rsidRPr="00D619BC">
        <w:rPr>
          <w:sz w:val="22"/>
          <w:szCs w:val="22"/>
        </w:rPr>
        <w:t>The Permitting Authority responsible for making a permit determination for this project is the</w:t>
      </w:r>
      <w:r w:rsidR="00A47453">
        <w:rPr>
          <w:sz w:val="22"/>
          <w:szCs w:val="22"/>
        </w:rPr>
        <w:t xml:space="preserve"> Office of Permitting and Compliance in the Division of Air Resource Management of the Department of Environmental Protection (Department).  </w:t>
      </w:r>
      <w:r w:rsidR="00A47453" w:rsidRPr="00245C25">
        <w:rPr>
          <w:sz w:val="22"/>
          <w:szCs w:val="22"/>
        </w:rPr>
        <w:t xml:space="preserve">The Permitting Authority’s physical address is:  </w:t>
      </w:r>
      <w:r w:rsidR="00A47453">
        <w:rPr>
          <w:sz w:val="22"/>
          <w:szCs w:val="22"/>
        </w:rPr>
        <w:t>2600 Blair Stone Road (MS #5505), Tallahassee</w:t>
      </w:r>
      <w:r w:rsidR="00A47453" w:rsidRPr="00245C25">
        <w:rPr>
          <w:sz w:val="22"/>
          <w:szCs w:val="22"/>
        </w:rPr>
        <w:t>, Florida</w:t>
      </w:r>
      <w:r w:rsidR="00A47453">
        <w:rPr>
          <w:sz w:val="22"/>
          <w:szCs w:val="22"/>
        </w:rPr>
        <w:t xml:space="preserve"> 32399-2400</w:t>
      </w:r>
      <w:r w:rsidR="00A47453" w:rsidRPr="00245C25">
        <w:rPr>
          <w:sz w:val="22"/>
          <w:szCs w:val="22"/>
        </w:rPr>
        <w:t>.  The Permitting A</w:t>
      </w:r>
      <w:r w:rsidR="00A47453">
        <w:rPr>
          <w:sz w:val="22"/>
          <w:szCs w:val="22"/>
        </w:rPr>
        <w:t>uthority’s mailing address is: 2600 Blair Stone Road (MS #5505), Tallahassee</w:t>
      </w:r>
      <w:r w:rsidR="00A47453" w:rsidRPr="00245C25">
        <w:rPr>
          <w:sz w:val="22"/>
          <w:szCs w:val="22"/>
        </w:rPr>
        <w:t>, Florida</w:t>
      </w:r>
      <w:r w:rsidR="00A47453">
        <w:rPr>
          <w:sz w:val="22"/>
          <w:szCs w:val="22"/>
        </w:rPr>
        <w:t xml:space="preserve"> 32399-2400</w:t>
      </w:r>
      <w:r w:rsidR="00A47453" w:rsidRPr="00245C25">
        <w:rPr>
          <w:sz w:val="22"/>
          <w:szCs w:val="22"/>
        </w:rPr>
        <w:t>.  The Permitting Authority’s telephone number is</w:t>
      </w:r>
      <w:r w:rsidR="00A47453">
        <w:rPr>
          <w:sz w:val="22"/>
          <w:szCs w:val="22"/>
        </w:rPr>
        <w:t xml:space="preserve"> 850/717-9000</w:t>
      </w:r>
      <w:r w:rsidR="00F621A4" w:rsidRPr="00245C25">
        <w:rPr>
          <w:sz w:val="22"/>
          <w:szCs w:val="22"/>
        </w:rPr>
        <w:t>.</w:t>
      </w:r>
    </w:p>
    <w:p w:rsidR="006F284A" w:rsidRDefault="00FB46AE" w:rsidP="00FB46AE">
      <w:pPr>
        <w:widowControl w:val="0"/>
        <w:tabs>
          <w:tab w:val="left" w:pos="0"/>
        </w:tabs>
        <w:spacing w:after="120"/>
        <w:rPr>
          <w:sz w:val="22"/>
          <w:szCs w:val="22"/>
        </w:rPr>
      </w:pPr>
      <w:r w:rsidRPr="00441662">
        <w:rPr>
          <w:b/>
          <w:sz w:val="22"/>
          <w:szCs w:val="22"/>
        </w:rPr>
        <w:t>Petition</w:t>
      </w:r>
      <w:r>
        <w:rPr>
          <w:b/>
          <w:sz w:val="22"/>
          <w:szCs w:val="22"/>
        </w:rPr>
        <w:t>s</w:t>
      </w:r>
      <w:r w:rsidR="00B80B7C" w:rsidRPr="00B80B7C">
        <w:rPr>
          <w:sz w:val="22"/>
          <w:szCs w:val="22"/>
        </w:rPr>
        <w:t>:</w:t>
      </w:r>
      <w:r>
        <w:rPr>
          <w:sz w:val="22"/>
          <w:szCs w:val="22"/>
        </w:rPr>
        <w:t xml:space="preserve">  </w:t>
      </w:r>
      <w:r w:rsidRPr="00EC6F46">
        <w:rPr>
          <w:sz w:val="22"/>
          <w:szCs w:val="22"/>
        </w:rPr>
        <w:t xml:space="preserve">A person whose substantial interests are affected by the proposed decision may petition for an administrative hearing in accordance with Sections 120.569 and 120.57, F.S.  The petition must contain the information set forth below and must be filed (received) in </w:t>
      </w:r>
      <w:r w:rsidRPr="00662D96">
        <w:rPr>
          <w:sz w:val="22"/>
          <w:szCs w:val="22"/>
        </w:rPr>
        <w:t>the Department’s Office of General Counsel, MS #35, 3900 Commonwealth Boulevard, Tallahassee, Florida 32399-3000.  Petitions filed by the applicant or any of the parties listed below must be filed within 14 days of receipt of this notice</w:t>
      </w:r>
      <w:r w:rsidRPr="005234EA">
        <w:rPr>
          <w:sz w:val="22"/>
          <w:szCs w:val="22"/>
        </w:rPr>
        <w:t>.  Petitions filed by any other person must be filed within 14 days of</w:t>
      </w:r>
      <w:r w:rsidRPr="00EC6F46">
        <w:rPr>
          <w:sz w:val="22"/>
          <w:szCs w:val="22"/>
        </w:rPr>
        <w:t xml:space="preserve"> receipt of this proposed action.  A petitioner must mail a copy of the petition to the applicant at the address indicated above, at the time of filing.  The failure of any person to file a petition within the appropriate </w:t>
      </w:r>
      <w:proofErr w:type="gramStart"/>
      <w:r w:rsidRPr="00EC6F46">
        <w:rPr>
          <w:sz w:val="22"/>
          <w:szCs w:val="22"/>
        </w:rPr>
        <w:t>time period</w:t>
      </w:r>
      <w:proofErr w:type="gramEnd"/>
      <w:r w:rsidRPr="00EC6F46">
        <w:rPr>
          <w:sz w:val="22"/>
          <w:szCs w:val="22"/>
        </w:rPr>
        <w:t xml:space="preserve"> shall constitute a waiver of that person’s right to request an administrative determination (hearing) under</w:t>
      </w:r>
      <w:r>
        <w:rPr>
          <w:sz w:val="22"/>
          <w:szCs w:val="22"/>
        </w:rPr>
        <w:t xml:space="preserve"> </w:t>
      </w:r>
      <w:r w:rsidRPr="00EC6F46">
        <w:rPr>
          <w:sz w:val="22"/>
          <w:szCs w:val="22"/>
        </w:rPr>
        <w:t>Sections 120.569 and 120.57, F.S., or to intervene in this proceeding and participate as a party to it.  Any subsequent intervention will be only at the approval of the presiding officer upon the filing of a motion in compliance with Rule 28-106.205, F.A.C.</w:t>
      </w:r>
    </w:p>
    <w:p w:rsidR="00D12669" w:rsidRDefault="00D12669" w:rsidP="00FB46AE">
      <w:pPr>
        <w:widowControl w:val="0"/>
        <w:tabs>
          <w:tab w:val="left" w:pos="0"/>
        </w:tabs>
        <w:spacing w:after="120"/>
        <w:rPr>
          <w:sz w:val="22"/>
          <w:szCs w:val="22"/>
        </w:rPr>
        <w:sectPr w:rsidR="00D12669" w:rsidSect="00E1325C">
          <w:headerReference w:type="default" r:id="rId8"/>
          <w:footerReference w:type="default" r:id="rId9"/>
          <w:pgSz w:w="12240" w:h="15840" w:code="1"/>
          <w:pgMar w:top="1440" w:right="1080" w:bottom="720" w:left="1080" w:header="720" w:footer="432" w:gutter="0"/>
          <w:cols w:space="720"/>
          <w:docGrid w:linePitch="272"/>
        </w:sectPr>
      </w:pPr>
    </w:p>
    <w:p w:rsidR="00FB46AE" w:rsidRDefault="00FB46AE" w:rsidP="00FB46AE">
      <w:pPr>
        <w:widowControl w:val="0"/>
        <w:spacing w:after="120"/>
        <w:rPr>
          <w:sz w:val="22"/>
          <w:szCs w:val="22"/>
        </w:rPr>
      </w:pPr>
      <w:r w:rsidRPr="002C2B8C">
        <w:rPr>
          <w:sz w:val="22"/>
          <w:szCs w:val="22"/>
        </w:rPr>
        <w:t xml:space="preserve">A petition that disputes the material facts on which the Department’s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w:t>
      </w:r>
      <w:r w:rsidRPr="002C2B8C">
        <w:rPr>
          <w:sz w:val="22"/>
          <w:szCs w:val="22"/>
        </w:rPr>
        <w:lastRenderedPageBreak/>
        <w:t>proceeding; and an explanation of how the petitioner’s substantial interests will be affected by the agency determination; (c) A statement of how and when each petitioner received notice of the agency action or proposed action; (d) A statement of all disputed issues of material fact.  If there are none,</w:t>
      </w:r>
      <w:r w:rsidR="00F66E50">
        <w:rPr>
          <w:sz w:val="22"/>
          <w:szCs w:val="22"/>
        </w:rPr>
        <w:t xml:space="preserve"> the petition must so indicate;</w:t>
      </w:r>
      <w:r w:rsidR="006F284A" w:rsidRPr="002C2B8C">
        <w:rPr>
          <w:sz w:val="22"/>
          <w:szCs w:val="22"/>
        </w:rPr>
        <w:t xml:space="preserve"> </w:t>
      </w:r>
      <w:r w:rsidRPr="002C2B8C">
        <w:rPr>
          <w:sz w:val="22"/>
          <w:szCs w:val="22"/>
        </w:rPr>
        <w:t>(e) A concise statement of the ultimate facts alleged, as well as the rules and statutes which entitle the petitioner to relief; (f) A statement of the specific rules or statutes the petitioner contends require reversal or modification of the agency’s proposed action; and, (g) A statement of the relief sought by the petitioner, stating precisely the action petitioner wishes the agency to take with respect to the agency’s proposed action.</w:t>
      </w:r>
      <w:r>
        <w:rPr>
          <w:sz w:val="22"/>
          <w:szCs w:val="22"/>
        </w:rPr>
        <w:t xml:space="preserve">  </w:t>
      </w:r>
      <w:r w:rsidRPr="002C2B8C">
        <w:rPr>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FB46AE" w:rsidRPr="008542AE" w:rsidRDefault="00FB46AE" w:rsidP="00FB46AE">
      <w:pPr>
        <w:widowControl w:val="0"/>
        <w:tabs>
          <w:tab w:val="left" w:pos="0"/>
        </w:tabs>
        <w:spacing w:after="120"/>
        <w:rPr>
          <w:sz w:val="22"/>
          <w:szCs w:val="22"/>
        </w:rPr>
      </w:pPr>
      <w:r w:rsidRPr="002C2B8C">
        <w:rPr>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FB46AE" w:rsidRDefault="00FB46AE" w:rsidP="00FB46AE">
      <w:pPr>
        <w:widowControl w:val="0"/>
        <w:tabs>
          <w:tab w:val="left" w:pos="0"/>
        </w:tabs>
        <w:spacing w:after="120"/>
        <w:ind w:left="403" w:hanging="403"/>
        <w:rPr>
          <w:sz w:val="22"/>
          <w:szCs w:val="22"/>
        </w:rPr>
      </w:pPr>
      <w:r w:rsidRPr="008542AE">
        <w:rPr>
          <w:b/>
          <w:sz w:val="22"/>
          <w:szCs w:val="22"/>
        </w:rPr>
        <w:t>Mediation</w:t>
      </w:r>
      <w:r w:rsidRPr="008542AE">
        <w:rPr>
          <w:sz w:val="22"/>
          <w:szCs w:val="22"/>
        </w:rPr>
        <w:t>:  Mediation is not available in this proceeding.</w:t>
      </w:r>
    </w:p>
    <w:p w:rsidR="00FB46AE" w:rsidRDefault="00FB46AE" w:rsidP="00FB46AE">
      <w:pPr>
        <w:widowControl w:val="0"/>
        <w:spacing w:after="120"/>
        <w:rPr>
          <w:sz w:val="22"/>
          <w:szCs w:val="22"/>
        </w:rPr>
      </w:pPr>
      <w:r w:rsidRPr="008542AE">
        <w:rPr>
          <w:b/>
          <w:sz w:val="22"/>
          <w:szCs w:val="22"/>
        </w:rPr>
        <w:t>Effective Date</w:t>
      </w:r>
      <w:r w:rsidRPr="008542AE">
        <w:rPr>
          <w:sz w:val="22"/>
          <w:szCs w:val="22"/>
        </w:rPr>
        <w:t>:  This permitting decision is final and effective on the date filed with the clerk of the Permitting Authority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Permitting Authority.</w:t>
      </w:r>
    </w:p>
    <w:p w:rsidR="006837C2" w:rsidRDefault="00FB46AE" w:rsidP="00FB46AE">
      <w:pPr>
        <w:pStyle w:val="BodyText3"/>
        <w:widowControl w:val="0"/>
        <w:rPr>
          <w:sz w:val="24"/>
        </w:rPr>
      </w:pPr>
      <w:r w:rsidRPr="00662D96">
        <w:rPr>
          <w:b/>
          <w:sz w:val="22"/>
          <w:szCs w:val="22"/>
        </w:rPr>
        <w:t>Judicial Review</w:t>
      </w:r>
      <w:r w:rsidRPr="00662D96">
        <w:rPr>
          <w:sz w:val="22"/>
          <w:szCs w:val="22"/>
        </w:rPr>
        <w:t xml:space="preserve">:  Any party to this permitting decision (order) has the right to seek judicial review of it under Section 120.68, F.S., by filing a notice of </w:t>
      </w:r>
      <w:bookmarkStart w:id="0" w:name="_GoBack"/>
      <w:bookmarkEnd w:id="0"/>
      <w:r w:rsidRPr="00662D96">
        <w:rPr>
          <w:sz w:val="22"/>
          <w:szCs w:val="22"/>
        </w:rPr>
        <w:t>appeal under Rule 9.110 of the Florida Rules of Appellate Procedure with the clerk of the Department of Environmental Protection in the Office of General Counsel, Mail Station #35, 3900 Commonwealth Boulevard, Tallahassee, Florida, 32399-3000 and by</w:t>
      </w:r>
      <w:r w:rsidRPr="008542AE">
        <w:rPr>
          <w:sz w:val="22"/>
          <w:szCs w:val="22"/>
        </w:rPr>
        <w:t xml:space="preserve"> filing a copy of the notice of appeal accompanied by the applicable filing fees with the appropriate District Court of Appeal.  The notice must be filed within 30 days after this order is filed with the clerk of the Department</w:t>
      </w:r>
      <w:r w:rsidRPr="008542AE">
        <w:rPr>
          <w:sz w:val="24"/>
        </w:rPr>
        <w:t>.</w:t>
      </w:r>
    </w:p>
    <w:p w:rsidR="007F4818" w:rsidRPr="000E17A4" w:rsidRDefault="00662D96" w:rsidP="007F481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Pr>
          <w:sz w:val="22"/>
          <w:szCs w:val="22"/>
        </w:rPr>
        <w:t>0990347-012-</w:t>
      </w:r>
      <w:r w:rsidR="007F4818" w:rsidRPr="000E17A4">
        <w:rPr>
          <w:sz w:val="22"/>
          <w:szCs w:val="22"/>
        </w:rPr>
        <w:t>A</w:t>
      </w:r>
      <w:r w:rsidR="007F4818">
        <w:rPr>
          <w:sz w:val="22"/>
          <w:szCs w:val="22"/>
        </w:rPr>
        <w:t>F</w:t>
      </w:r>
      <w:r w:rsidR="007F4818" w:rsidRPr="000E17A4">
        <w:rPr>
          <w:sz w:val="22"/>
          <w:szCs w:val="22"/>
        </w:rPr>
        <w:t xml:space="preserve"> Effective Date:  </w:t>
      </w:r>
      <w:r w:rsidR="0057015C">
        <w:rPr>
          <w:sz w:val="22"/>
          <w:szCs w:val="22"/>
        </w:rPr>
        <w:t>May 23, 2018</w:t>
      </w:r>
    </w:p>
    <w:p w:rsidR="007F4818" w:rsidRPr="000E17A4" w:rsidRDefault="007F4818" w:rsidP="007F481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0E17A4">
        <w:rPr>
          <w:sz w:val="22"/>
          <w:szCs w:val="22"/>
        </w:rPr>
        <w:t xml:space="preserve">Renewal Application Due Date:  </w:t>
      </w:r>
      <w:r w:rsidR="0057015C">
        <w:rPr>
          <w:sz w:val="22"/>
          <w:szCs w:val="22"/>
        </w:rPr>
        <w:t>March 24, 2023</w:t>
      </w:r>
    </w:p>
    <w:p w:rsidR="007F4818" w:rsidRPr="000E17A4" w:rsidRDefault="007F4818" w:rsidP="007F4818">
      <w:pPr>
        <w:pStyle w:val="BodyText3"/>
        <w:widowControl w:val="0"/>
        <w:rPr>
          <w:sz w:val="22"/>
          <w:szCs w:val="22"/>
        </w:rPr>
      </w:pPr>
      <w:r w:rsidRPr="000E17A4">
        <w:rPr>
          <w:sz w:val="22"/>
          <w:szCs w:val="22"/>
        </w:rPr>
        <w:t xml:space="preserve">Expiration Date:  </w:t>
      </w:r>
      <w:r w:rsidR="0057015C">
        <w:rPr>
          <w:sz w:val="22"/>
          <w:szCs w:val="22"/>
        </w:rPr>
        <w:t>May 23, 2023</w:t>
      </w:r>
    </w:p>
    <w:p w:rsidR="001054EB" w:rsidRDefault="001054EB" w:rsidP="000B454B">
      <w:pPr>
        <w:rPr>
          <w:sz w:val="22"/>
          <w:szCs w:val="22"/>
        </w:rPr>
      </w:pPr>
      <w:r>
        <w:rPr>
          <w:sz w:val="22"/>
          <w:szCs w:val="22"/>
        </w:rPr>
        <w:t xml:space="preserve">Executed in </w:t>
      </w:r>
      <w:r w:rsidR="00662D96">
        <w:rPr>
          <w:sz w:val="22"/>
          <w:szCs w:val="22"/>
        </w:rPr>
        <w:t>Tallahassee</w:t>
      </w:r>
      <w:r>
        <w:rPr>
          <w:sz w:val="22"/>
          <w:szCs w:val="22"/>
        </w:rPr>
        <w:t>, Florida</w:t>
      </w:r>
    </w:p>
    <w:p w:rsidR="00662D96" w:rsidRDefault="00662D96" w:rsidP="00662D96">
      <w:pPr>
        <w:rPr>
          <w:sz w:val="22"/>
          <w:szCs w:val="22"/>
        </w:rPr>
      </w:pPr>
    </w:p>
    <w:p w:rsidR="00662D96" w:rsidRDefault="00662D96" w:rsidP="00662D96">
      <w:pPr>
        <w:rPr>
          <w:sz w:val="22"/>
          <w:szCs w:val="22"/>
        </w:rPr>
      </w:pPr>
    </w:p>
    <w:p w:rsidR="0057015C" w:rsidRDefault="0057015C" w:rsidP="00662D96">
      <w:pPr>
        <w:rPr>
          <w:sz w:val="22"/>
          <w:szCs w:val="22"/>
        </w:rPr>
      </w:pPr>
    </w:p>
    <w:p w:rsidR="0057015C" w:rsidRDefault="0057015C" w:rsidP="00662D96">
      <w:pPr>
        <w:rPr>
          <w:sz w:val="22"/>
          <w:szCs w:val="22"/>
        </w:rPr>
      </w:pPr>
    </w:p>
    <w:p w:rsidR="00662D96" w:rsidRDefault="00662D96" w:rsidP="00662D96">
      <w:pPr>
        <w:rPr>
          <w:sz w:val="22"/>
          <w:szCs w:val="22"/>
        </w:rPr>
      </w:pPr>
    </w:p>
    <w:p w:rsidR="00662D96" w:rsidRPr="007E08BD" w:rsidRDefault="00662D96" w:rsidP="00662D96">
      <w:pPr>
        <w:rPr>
          <w:i/>
          <w:sz w:val="22"/>
          <w:szCs w:val="22"/>
        </w:rPr>
      </w:pPr>
      <w:r>
        <w:rPr>
          <w:i/>
          <w:sz w:val="22"/>
          <w:szCs w:val="22"/>
        </w:rPr>
        <w:t>F</w:t>
      </w:r>
      <w:r w:rsidRPr="007E08BD">
        <w:rPr>
          <w:i/>
          <w:sz w:val="22"/>
          <w:szCs w:val="22"/>
        </w:rPr>
        <w:t>or:</w:t>
      </w:r>
    </w:p>
    <w:p w:rsidR="00662D96" w:rsidRPr="007E08BD" w:rsidRDefault="00662D96" w:rsidP="00662D96">
      <w:pPr>
        <w:widowControl w:val="0"/>
        <w:tabs>
          <w:tab w:val="left" w:pos="360"/>
          <w:tab w:val="left" w:pos="7200"/>
          <w:tab w:val="left" w:pos="8910"/>
          <w:tab w:val="left" w:pos="9360"/>
        </w:tabs>
        <w:ind w:right="6426"/>
        <w:rPr>
          <w:sz w:val="22"/>
          <w:szCs w:val="22"/>
        </w:rPr>
      </w:pPr>
      <w:r w:rsidRPr="007E08BD">
        <w:rPr>
          <w:sz w:val="22"/>
          <w:szCs w:val="22"/>
        </w:rPr>
        <w:t>Syed Arif, P.E., Program Administrator</w:t>
      </w:r>
    </w:p>
    <w:p w:rsidR="00662D96" w:rsidRPr="007E08BD" w:rsidRDefault="00662D96" w:rsidP="00662D96">
      <w:pPr>
        <w:widowControl w:val="0"/>
        <w:tabs>
          <w:tab w:val="left" w:pos="360"/>
          <w:tab w:val="left" w:pos="7200"/>
          <w:tab w:val="left" w:pos="8910"/>
          <w:tab w:val="left" w:pos="9360"/>
        </w:tabs>
        <w:rPr>
          <w:sz w:val="22"/>
          <w:szCs w:val="22"/>
        </w:rPr>
      </w:pPr>
      <w:r w:rsidRPr="007E08BD">
        <w:rPr>
          <w:sz w:val="22"/>
          <w:szCs w:val="22"/>
        </w:rPr>
        <w:t>Office of Permitting and Compliance</w:t>
      </w:r>
    </w:p>
    <w:p w:rsidR="00662D96" w:rsidRPr="007E08BD" w:rsidRDefault="00662D96" w:rsidP="00662D96">
      <w:pPr>
        <w:rPr>
          <w:b/>
          <w:caps/>
          <w:sz w:val="22"/>
          <w:szCs w:val="22"/>
        </w:rPr>
      </w:pPr>
      <w:r w:rsidRPr="007E08BD">
        <w:rPr>
          <w:sz w:val="22"/>
          <w:szCs w:val="22"/>
        </w:rPr>
        <w:t>Division of Air Resource Management</w:t>
      </w:r>
    </w:p>
    <w:p w:rsidR="00662D96" w:rsidRPr="007E08BD" w:rsidRDefault="00662D96" w:rsidP="00662D96">
      <w:pPr>
        <w:spacing w:after="120"/>
        <w:rPr>
          <w:sz w:val="22"/>
          <w:szCs w:val="22"/>
        </w:rPr>
      </w:pPr>
    </w:p>
    <w:p w:rsidR="00662D96" w:rsidRPr="007E08BD" w:rsidRDefault="00662D96" w:rsidP="00662D96">
      <w:pPr>
        <w:rPr>
          <w:sz w:val="22"/>
          <w:szCs w:val="22"/>
        </w:rPr>
      </w:pPr>
      <w:r w:rsidRPr="007E08BD">
        <w:rPr>
          <w:sz w:val="22"/>
          <w:szCs w:val="22"/>
        </w:rPr>
        <w:t>SA/dlr/ead</w:t>
      </w:r>
    </w:p>
    <w:p w:rsidR="00D41028" w:rsidRDefault="00B644A8" w:rsidP="000B454B">
      <w:pPr>
        <w:pStyle w:val="p8"/>
        <w:widowControl/>
        <w:tabs>
          <w:tab w:val="clear" w:pos="720"/>
        </w:tabs>
        <w:spacing w:line="240" w:lineRule="auto"/>
        <w:rPr>
          <w:b/>
          <w:sz w:val="22"/>
          <w:szCs w:val="22"/>
        </w:rPr>
      </w:pPr>
      <w:r>
        <w:rPr>
          <w:b/>
          <w:sz w:val="22"/>
          <w:szCs w:val="22"/>
        </w:rPr>
        <w:br w:type="page"/>
      </w:r>
    </w:p>
    <w:p w:rsidR="004B7A02" w:rsidRPr="00674BC0" w:rsidRDefault="004B7A02" w:rsidP="000769B2">
      <w:pPr>
        <w:pStyle w:val="p8"/>
        <w:widowControl/>
        <w:tabs>
          <w:tab w:val="clear" w:pos="720"/>
          <w:tab w:val="left" w:pos="5040"/>
        </w:tabs>
        <w:spacing w:after="120" w:line="240" w:lineRule="auto"/>
        <w:jc w:val="center"/>
        <w:rPr>
          <w:b/>
          <w:sz w:val="22"/>
          <w:szCs w:val="22"/>
        </w:rPr>
      </w:pPr>
      <w:r w:rsidRPr="00674BC0">
        <w:rPr>
          <w:b/>
          <w:sz w:val="22"/>
          <w:szCs w:val="22"/>
        </w:rPr>
        <w:t>CERTIFICATE OF SERVICE</w:t>
      </w:r>
    </w:p>
    <w:p w:rsidR="00BD6151" w:rsidRPr="00BD6151" w:rsidRDefault="00BD6151" w:rsidP="00BD6151">
      <w:pPr>
        <w:spacing w:after="240"/>
        <w:rPr>
          <w:sz w:val="22"/>
          <w:szCs w:val="22"/>
        </w:rPr>
      </w:pPr>
      <w:r w:rsidRPr="00BD6151">
        <w:rPr>
          <w:sz w:val="22"/>
          <w:szCs w:val="22"/>
        </w:rPr>
        <w:t xml:space="preserve">The undersigned duly designated deputy agency clerk hereby certifies that this </w:t>
      </w:r>
      <w:r w:rsidR="009B2731" w:rsidRPr="009B2731">
        <w:rPr>
          <w:sz w:val="22"/>
          <w:szCs w:val="22"/>
        </w:rPr>
        <w:t>Federally Enforceable State Operation Permit</w:t>
      </w:r>
      <w:r w:rsidRPr="00BD6151">
        <w:rPr>
          <w:sz w:val="22"/>
          <w:szCs w:val="22"/>
        </w:rPr>
        <w:t xml:space="preserve"> package was sent by electronic mail, or a link to these documents made available electronically on a publicly accessible server, with received receipt requested before the close of business on the date indicated below to the following persons.</w:t>
      </w:r>
    </w:p>
    <w:p w:rsidR="0083134C" w:rsidRDefault="0083134C" w:rsidP="0083134C">
      <w:pPr>
        <w:widowControl w:val="0"/>
        <w:tabs>
          <w:tab w:val="left" w:pos="-720"/>
          <w:tab w:val="left" w:pos="4320"/>
        </w:tabs>
        <w:outlineLvl w:val="0"/>
        <w:rPr>
          <w:sz w:val="22"/>
          <w:szCs w:val="22"/>
        </w:rPr>
      </w:pPr>
      <w:r>
        <w:rPr>
          <w:sz w:val="22"/>
          <w:szCs w:val="22"/>
        </w:rPr>
        <w:t xml:space="preserve">Mr. Hassan Hadjimiry, P.E., PBC Water Utilities Department:  </w:t>
      </w:r>
      <w:hyperlink r:id="rId10" w:history="1">
        <w:r w:rsidRPr="00650F18">
          <w:rPr>
            <w:rStyle w:val="Hyperlink"/>
            <w:sz w:val="22"/>
            <w:szCs w:val="22"/>
          </w:rPr>
          <w:t>hhadjimiry@pbcwater.com</w:t>
        </w:r>
      </w:hyperlink>
    </w:p>
    <w:p w:rsidR="0083134C" w:rsidRDefault="0083134C" w:rsidP="0083134C">
      <w:pPr>
        <w:widowControl w:val="0"/>
        <w:tabs>
          <w:tab w:val="left" w:pos="-720"/>
          <w:tab w:val="left" w:pos="4320"/>
        </w:tabs>
        <w:outlineLvl w:val="0"/>
        <w:rPr>
          <w:sz w:val="22"/>
          <w:szCs w:val="22"/>
        </w:rPr>
      </w:pPr>
      <w:r>
        <w:rPr>
          <w:sz w:val="22"/>
          <w:szCs w:val="22"/>
        </w:rPr>
        <w:t xml:space="preserve">Mr. Stephen Brown, PBC Water Utilities Department:  </w:t>
      </w:r>
      <w:hyperlink r:id="rId11" w:history="1">
        <w:r w:rsidRPr="00650F18">
          <w:rPr>
            <w:rStyle w:val="Hyperlink"/>
            <w:sz w:val="22"/>
            <w:szCs w:val="22"/>
          </w:rPr>
          <w:t>sebrown@pbcwater.com</w:t>
        </w:r>
      </w:hyperlink>
    </w:p>
    <w:p w:rsidR="0083134C" w:rsidRDefault="00D03C04" w:rsidP="0083134C">
      <w:pPr>
        <w:widowControl w:val="0"/>
        <w:tabs>
          <w:tab w:val="left" w:pos="-720"/>
          <w:tab w:val="left" w:pos="4320"/>
        </w:tabs>
        <w:outlineLvl w:val="0"/>
        <w:rPr>
          <w:sz w:val="22"/>
          <w:szCs w:val="22"/>
        </w:rPr>
      </w:pPr>
      <w:r>
        <w:rPr>
          <w:sz w:val="22"/>
          <w:szCs w:val="22"/>
        </w:rPr>
        <w:t xml:space="preserve">Mr. Rex McClung, PBC Water Utilities Department:  </w:t>
      </w:r>
      <w:hyperlink r:id="rId12" w:history="1">
        <w:r w:rsidRPr="00650F18">
          <w:rPr>
            <w:rStyle w:val="Hyperlink"/>
            <w:sz w:val="22"/>
            <w:szCs w:val="22"/>
          </w:rPr>
          <w:t>RWMcClung@pbcwater.com</w:t>
        </w:r>
      </w:hyperlink>
    </w:p>
    <w:p w:rsidR="00D03C04" w:rsidRDefault="0090614C" w:rsidP="0083134C">
      <w:pPr>
        <w:widowControl w:val="0"/>
        <w:tabs>
          <w:tab w:val="left" w:pos="-720"/>
          <w:tab w:val="left" w:pos="4320"/>
        </w:tabs>
        <w:outlineLvl w:val="0"/>
        <w:rPr>
          <w:sz w:val="22"/>
          <w:szCs w:val="22"/>
        </w:rPr>
      </w:pPr>
      <w:r>
        <w:rPr>
          <w:sz w:val="22"/>
          <w:szCs w:val="22"/>
        </w:rPr>
        <w:t xml:space="preserve">Mr. Aniello Aprea, PBC Water Utilities Department:  </w:t>
      </w:r>
      <w:hyperlink r:id="rId13" w:history="1">
        <w:r w:rsidRPr="00650F18">
          <w:rPr>
            <w:rStyle w:val="Hyperlink"/>
            <w:sz w:val="22"/>
            <w:szCs w:val="22"/>
          </w:rPr>
          <w:t>AAprea@pbcwater.com</w:t>
        </w:r>
      </w:hyperlink>
    </w:p>
    <w:p w:rsidR="0090614C" w:rsidRDefault="005A25F9" w:rsidP="0083134C">
      <w:pPr>
        <w:widowControl w:val="0"/>
        <w:tabs>
          <w:tab w:val="left" w:pos="-720"/>
          <w:tab w:val="left" w:pos="4320"/>
        </w:tabs>
        <w:outlineLvl w:val="0"/>
        <w:rPr>
          <w:sz w:val="22"/>
          <w:szCs w:val="22"/>
        </w:rPr>
      </w:pPr>
      <w:r>
        <w:rPr>
          <w:sz w:val="22"/>
          <w:szCs w:val="22"/>
        </w:rPr>
        <w:t xml:space="preserve">Mr. David Dalton, PBC Water Utilities Department:  </w:t>
      </w:r>
      <w:hyperlink r:id="rId14" w:history="1">
        <w:r w:rsidRPr="00650F18">
          <w:rPr>
            <w:rStyle w:val="Hyperlink"/>
            <w:sz w:val="22"/>
            <w:szCs w:val="22"/>
          </w:rPr>
          <w:t>DDalton@pbcwater.com</w:t>
        </w:r>
      </w:hyperlink>
    </w:p>
    <w:p w:rsidR="005A25F9" w:rsidRDefault="005A25F9" w:rsidP="0083134C">
      <w:pPr>
        <w:widowControl w:val="0"/>
        <w:tabs>
          <w:tab w:val="left" w:pos="-720"/>
          <w:tab w:val="left" w:pos="4320"/>
        </w:tabs>
        <w:outlineLvl w:val="0"/>
        <w:rPr>
          <w:sz w:val="22"/>
          <w:szCs w:val="22"/>
        </w:rPr>
      </w:pPr>
      <w:r>
        <w:rPr>
          <w:sz w:val="22"/>
          <w:szCs w:val="22"/>
        </w:rPr>
        <w:t xml:space="preserve">DEP Southeast District Air Compliance:  </w:t>
      </w:r>
      <w:hyperlink r:id="rId15" w:history="1">
        <w:r w:rsidRPr="00650F18">
          <w:rPr>
            <w:rStyle w:val="Hyperlink"/>
            <w:sz w:val="22"/>
            <w:szCs w:val="22"/>
          </w:rPr>
          <w:t>SED.AIR@floridadep.gov</w:t>
        </w:r>
      </w:hyperlink>
      <w:r>
        <w:rPr>
          <w:sz w:val="22"/>
          <w:szCs w:val="22"/>
        </w:rPr>
        <w:t xml:space="preserve"> </w:t>
      </w:r>
    </w:p>
    <w:p w:rsidR="005A25F9" w:rsidRDefault="005A25F9" w:rsidP="0083134C">
      <w:pPr>
        <w:widowControl w:val="0"/>
        <w:tabs>
          <w:tab w:val="left" w:pos="-720"/>
          <w:tab w:val="left" w:pos="4320"/>
        </w:tabs>
        <w:outlineLvl w:val="0"/>
        <w:rPr>
          <w:sz w:val="22"/>
          <w:szCs w:val="22"/>
        </w:rPr>
      </w:pPr>
      <w:r>
        <w:rPr>
          <w:sz w:val="22"/>
          <w:szCs w:val="22"/>
        </w:rPr>
        <w:t xml:space="preserve">Ms. Lynn Scearce, DEP OPC:  </w:t>
      </w:r>
      <w:hyperlink r:id="rId16" w:history="1">
        <w:r w:rsidRPr="00650F18">
          <w:rPr>
            <w:rStyle w:val="Hyperlink"/>
            <w:sz w:val="22"/>
            <w:szCs w:val="22"/>
          </w:rPr>
          <w:t>Lynn.Scearce@floridadep.gov</w:t>
        </w:r>
      </w:hyperlink>
      <w:r>
        <w:rPr>
          <w:sz w:val="22"/>
          <w:szCs w:val="22"/>
        </w:rPr>
        <w:t xml:space="preserve"> </w:t>
      </w:r>
    </w:p>
    <w:p w:rsidR="00BD6151" w:rsidRPr="00D5632C" w:rsidRDefault="00BD6151" w:rsidP="0083134C">
      <w:pPr>
        <w:widowControl w:val="0"/>
        <w:tabs>
          <w:tab w:val="left" w:pos="-720"/>
          <w:tab w:val="left" w:pos="4320"/>
        </w:tabs>
        <w:spacing w:before="240" w:after="120"/>
        <w:outlineLvl w:val="0"/>
        <w:rPr>
          <w:sz w:val="22"/>
          <w:szCs w:val="22"/>
        </w:rPr>
      </w:pPr>
      <w:r w:rsidRPr="00D5632C">
        <w:rPr>
          <w:sz w:val="22"/>
          <w:szCs w:val="22"/>
        </w:rPr>
        <w:t>Clerk Stamp</w:t>
      </w:r>
    </w:p>
    <w:p w:rsidR="00843FBE" w:rsidRPr="00BD6151" w:rsidRDefault="00BD6151" w:rsidP="000B454B">
      <w:pPr>
        <w:tabs>
          <w:tab w:val="left" w:pos="-720"/>
          <w:tab w:val="left" w:pos="0"/>
          <w:tab w:val="left" w:pos="4320"/>
        </w:tabs>
        <w:ind w:right="504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rsidR="00DE6A6E" w:rsidRPr="00877418" w:rsidRDefault="00DE6A6E" w:rsidP="00DE6A6E">
      <w:pPr>
        <w:rPr>
          <w:b/>
          <w:caps/>
          <w:sz w:val="22"/>
          <w:szCs w:val="22"/>
        </w:rPr>
        <w:sectPr w:rsidR="00DE6A6E" w:rsidRPr="00877418" w:rsidSect="00E1325C">
          <w:headerReference w:type="default" r:id="rId17"/>
          <w:footerReference w:type="default" r:id="rId18"/>
          <w:type w:val="continuous"/>
          <w:pgSz w:w="12240" w:h="15840" w:code="1"/>
          <w:pgMar w:top="1440" w:right="1080" w:bottom="720" w:left="1080" w:header="720" w:footer="432" w:gutter="0"/>
          <w:cols w:space="720"/>
          <w:docGrid w:linePitch="272"/>
        </w:sectPr>
      </w:pPr>
    </w:p>
    <w:p w:rsidR="00A478E0" w:rsidRPr="00877418" w:rsidRDefault="00A478E0" w:rsidP="00A478E0">
      <w:pPr>
        <w:spacing w:after="120"/>
        <w:rPr>
          <w:caps/>
          <w:sz w:val="22"/>
          <w:szCs w:val="22"/>
          <w:u w:val="single"/>
        </w:rPr>
      </w:pPr>
      <w:r w:rsidRPr="00877418">
        <w:rPr>
          <w:b/>
          <w:caps/>
          <w:sz w:val="22"/>
          <w:szCs w:val="22"/>
        </w:rPr>
        <w:t>Facility Description</w:t>
      </w:r>
    </w:p>
    <w:p w:rsidR="00ED5130" w:rsidRPr="004A74DC" w:rsidRDefault="004A74DC" w:rsidP="00ED5130">
      <w:pPr>
        <w:pStyle w:val="BodyText3"/>
        <w:numPr>
          <w:ilvl w:val="12"/>
          <w:numId w:val="0"/>
        </w:numPr>
        <w:rPr>
          <w:sz w:val="22"/>
          <w:szCs w:val="22"/>
        </w:rPr>
      </w:pPr>
      <w:r w:rsidRPr="004A74DC">
        <w:rPr>
          <w:sz w:val="22"/>
          <w:szCs w:val="22"/>
        </w:rPr>
        <w:t xml:space="preserve">The Palm Beach County Southern Region Water Reclamation Facility is </w:t>
      </w:r>
      <w:r w:rsidR="00C214A0">
        <w:rPr>
          <w:sz w:val="22"/>
          <w:szCs w:val="22"/>
        </w:rPr>
        <w:t xml:space="preserve">an existing wastewater treatment plant.  </w:t>
      </w:r>
      <w:r w:rsidR="00CB2912">
        <w:rPr>
          <w:sz w:val="22"/>
          <w:szCs w:val="22"/>
        </w:rPr>
        <w:t xml:space="preserve">The facility consists of </w:t>
      </w:r>
      <w:r w:rsidR="00D54FA0">
        <w:rPr>
          <w:sz w:val="22"/>
          <w:szCs w:val="22"/>
        </w:rPr>
        <w:t>enclosed processes that process both the liquid and solid components of wastewater</w:t>
      </w:r>
      <w:r w:rsidR="005F5054">
        <w:rPr>
          <w:sz w:val="22"/>
          <w:szCs w:val="22"/>
        </w:rPr>
        <w:t>, four generators that run on diesel fuel, four boilers that run on digester</w:t>
      </w:r>
      <w:r w:rsidR="00A0452B">
        <w:rPr>
          <w:sz w:val="22"/>
          <w:szCs w:val="22"/>
        </w:rPr>
        <w:t xml:space="preserve"> gas with a flare </w:t>
      </w:r>
      <w:r w:rsidR="00454C7E">
        <w:rPr>
          <w:sz w:val="22"/>
          <w:szCs w:val="22"/>
        </w:rPr>
        <w:t>that burns</w:t>
      </w:r>
      <w:r w:rsidR="00A0452B">
        <w:rPr>
          <w:sz w:val="22"/>
          <w:szCs w:val="22"/>
        </w:rPr>
        <w:t xml:space="preserve"> excess digester gas, and two generators that run on digester gas.</w:t>
      </w:r>
    </w:p>
    <w:p w:rsidR="00ED5130" w:rsidRPr="00A61FF4" w:rsidRDefault="00ED5130" w:rsidP="00ED5130">
      <w:pPr>
        <w:pStyle w:val="BodyText3"/>
        <w:numPr>
          <w:ilvl w:val="12"/>
          <w:numId w:val="0"/>
        </w:numPr>
        <w:rPr>
          <w:sz w:val="22"/>
          <w:szCs w:val="22"/>
        </w:rPr>
      </w:pPr>
      <w:r w:rsidRPr="00AC6F9D">
        <w:rPr>
          <w:sz w:val="22"/>
          <w:szCs w:val="22"/>
        </w:rPr>
        <w:t>The existing facility consists of the following emissions units (EU).</w:t>
      </w:r>
    </w:p>
    <w:tbl>
      <w:tblPr>
        <w:tblW w:w="10080"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080"/>
        <w:gridCol w:w="9000"/>
      </w:tblGrid>
      <w:tr w:rsidR="00ED5130" w:rsidRPr="00494AEB" w:rsidTr="00336CCC">
        <w:tc>
          <w:tcPr>
            <w:tcW w:w="1080" w:type="dxa"/>
            <w:tcBorders>
              <w:top w:val="single" w:sz="12" w:space="0" w:color="auto"/>
              <w:left w:val="single" w:sz="12" w:space="0" w:color="auto"/>
              <w:bottom w:val="single" w:sz="12" w:space="0" w:color="auto"/>
              <w:right w:val="single" w:sz="4" w:space="0" w:color="auto"/>
            </w:tcBorders>
            <w:shd w:val="clear" w:color="auto" w:fill="BDD6EE" w:themeFill="accent1" w:themeFillTint="66"/>
          </w:tcPr>
          <w:p w:rsidR="00ED5130" w:rsidRPr="00494AEB" w:rsidRDefault="00ED5130" w:rsidP="00C74E75">
            <w:pPr>
              <w:jc w:val="center"/>
              <w:rPr>
                <w:b/>
                <w:sz w:val="22"/>
                <w:szCs w:val="22"/>
              </w:rPr>
            </w:pPr>
            <w:r w:rsidRPr="00494AEB">
              <w:rPr>
                <w:b/>
                <w:sz w:val="22"/>
                <w:szCs w:val="22"/>
              </w:rPr>
              <w:t>EU No.</w:t>
            </w:r>
          </w:p>
        </w:tc>
        <w:tc>
          <w:tcPr>
            <w:tcW w:w="9000" w:type="dxa"/>
            <w:tcBorders>
              <w:top w:val="single" w:sz="12" w:space="0" w:color="auto"/>
              <w:left w:val="single" w:sz="4" w:space="0" w:color="auto"/>
              <w:bottom w:val="single" w:sz="12" w:space="0" w:color="auto"/>
              <w:right w:val="single" w:sz="12" w:space="0" w:color="auto"/>
            </w:tcBorders>
            <w:shd w:val="clear" w:color="auto" w:fill="BDD6EE" w:themeFill="accent1" w:themeFillTint="66"/>
          </w:tcPr>
          <w:p w:rsidR="00ED5130" w:rsidRPr="00494AEB" w:rsidRDefault="00ED5130" w:rsidP="00C74E75">
            <w:pPr>
              <w:rPr>
                <w:b/>
                <w:sz w:val="22"/>
                <w:szCs w:val="22"/>
              </w:rPr>
            </w:pPr>
            <w:r w:rsidRPr="00494AEB">
              <w:rPr>
                <w:b/>
                <w:sz w:val="22"/>
                <w:szCs w:val="22"/>
              </w:rPr>
              <w:t>Emission</w:t>
            </w:r>
            <w:r w:rsidR="00966888">
              <w:rPr>
                <w:b/>
                <w:sz w:val="22"/>
                <w:szCs w:val="22"/>
              </w:rPr>
              <w:t>s</w:t>
            </w:r>
            <w:r w:rsidRPr="00494AEB">
              <w:rPr>
                <w:b/>
                <w:sz w:val="22"/>
                <w:szCs w:val="22"/>
              </w:rPr>
              <w:t xml:space="preserve"> Unit Description</w:t>
            </w:r>
          </w:p>
        </w:tc>
      </w:tr>
      <w:tr w:rsidR="00ED5130" w:rsidRPr="00494AEB" w:rsidTr="00937A51">
        <w:tc>
          <w:tcPr>
            <w:tcW w:w="1080" w:type="dxa"/>
            <w:tcBorders>
              <w:top w:val="single" w:sz="12" w:space="0" w:color="auto"/>
              <w:left w:val="single" w:sz="12" w:space="0" w:color="auto"/>
              <w:bottom w:val="single" w:sz="4" w:space="0" w:color="auto"/>
              <w:right w:val="single" w:sz="4" w:space="0" w:color="auto"/>
            </w:tcBorders>
          </w:tcPr>
          <w:p w:rsidR="00ED5130" w:rsidRPr="00494AEB" w:rsidRDefault="00621752" w:rsidP="00C74E75">
            <w:pPr>
              <w:jc w:val="center"/>
              <w:rPr>
                <w:sz w:val="22"/>
                <w:szCs w:val="22"/>
              </w:rPr>
            </w:pPr>
            <w:r>
              <w:rPr>
                <w:sz w:val="22"/>
                <w:szCs w:val="22"/>
              </w:rPr>
              <w:t>001</w:t>
            </w:r>
          </w:p>
        </w:tc>
        <w:tc>
          <w:tcPr>
            <w:tcW w:w="9000" w:type="dxa"/>
            <w:tcBorders>
              <w:top w:val="single" w:sz="12" w:space="0" w:color="auto"/>
              <w:left w:val="single" w:sz="4" w:space="0" w:color="auto"/>
              <w:bottom w:val="single" w:sz="4" w:space="0" w:color="auto"/>
              <w:right w:val="single" w:sz="12" w:space="0" w:color="auto"/>
            </w:tcBorders>
          </w:tcPr>
          <w:p w:rsidR="00ED5130" w:rsidRPr="00621752" w:rsidRDefault="00621752" w:rsidP="00C74E75">
            <w:pPr>
              <w:rPr>
                <w:sz w:val="22"/>
                <w:szCs w:val="22"/>
              </w:rPr>
            </w:pPr>
            <w:r>
              <w:rPr>
                <w:sz w:val="22"/>
                <w:szCs w:val="22"/>
              </w:rPr>
              <w:t>Liquid Process Units and Solid Handling Process</w:t>
            </w:r>
          </w:p>
        </w:tc>
      </w:tr>
      <w:tr w:rsidR="00ED5130" w:rsidRPr="00494AEB" w:rsidTr="00937A51">
        <w:tc>
          <w:tcPr>
            <w:tcW w:w="1080" w:type="dxa"/>
            <w:tcBorders>
              <w:top w:val="single" w:sz="4" w:space="0" w:color="auto"/>
              <w:left w:val="single" w:sz="12" w:space="0" w:color="auto"/>
              <w:bottom w:val="single" w:sz="4" w:space="0" w:color="auto"/>
              <w:right w:val="single" w:sz="4" w:space="0" w:color="auto"/>
            </w:tcBorders>
          </w:tcPr>
          <w:p w:rsidR="00ED5130" w:rsidRPr="00494AEB" w:rsidRDefault="00621752" w:rsidP="00C74E75">
            <w:pPr>
              <w:jc w:val="center"/>
              <w:rPr>
                <w:sz w:val="22"/>
                <w:szCs w:val="22"/>
              </w:rPr>
            </w:pPr>
            <w:r>
              <w:rPr>
                <w:sz w:val="22"/>
                <w:szCs w:val="22"/>
              </w:rPr>
              <w:t>002</w:t>
            </w:r>
          </w:p>
        </w:tc>
        <w:tc>
          <w:tcPr>
            <w:tcW w:w="9000" w:type="dxa"/>
            <w:tcBorders>
              <w:top w:val="single" w:sz="4" w:space="0" w:color="auto"/>
              <w:left w:val="single" w:sz="4" w:space="0" w:color="auto"/>
              <w:bottom w:val="single" w:sz="4" w:space="0" w:color="auto"/>
              <w:right w:val="single" w:sz="12" w:space="0" w:color="auto"/>
            </w:tcBorders>
          </w:tcPr>
          <w:p w:rsidR="00ED5130" w:rsidRPr="00621752" w:rsidRDefault="00621752" w:rsidP="00C74E75">
            <w:pPr>
              <w:rPr>
                <w:sz w:val="22"/>
                <w:szCs w:val="22"/>
              </w:rPr>
            </w:pPr>
            <w:r>
              <w:rPr>
                <w:sz w:val="22"/>
                <w:szCs w:val="22"/>
              </w:rPr>
              <w:t xml:space="preserve">Four </w:t>
            </w:r>
            <w:r w:rsidR="00311637">
              <w:rPr>
                <w:sz w:val="22"/>
                <w:szCs w:val="22"/>
              </w:rPr>
              <w:t>Non-Emergency</w:t>
            </w:r>
            <w:r>
              <w:rPr>
                <w:sz w:val="22"/>
                <w:szCs w:val="22"/>
              </w:rPr>
              <w:t xml:space="preserve"> Generators</w:t>
            </w:r>
          </w:p>
        </w:tc>
      </w:tr>
      <w:tr w:rsidR="00621752" w:rsidRPr="00494AEB" w:rsidTr="00937A51">
        <w:tc>
          <w:tcPr>
            <w:tcW w:w="1080" w:type="dxa"/>
            <w:tcBorders>
              <w:top w:val="single" w:sz="4" w:space="0" w:color="auto"/>
              <w:left w:val="single" w:sz="12" w:space="0" w:color="auto"/>
              <w:bottom w:val="single" w:sz="4" w:space="0" w:color="auto"/>
              <w:right w:val="single" w:sz="4" w:space="0" w:color="auto"/>
            </w:tcBorders>
          </w:tcPr>
          <w:p w:rsidR="00621752" w:rsidRPr="00494AEB" w:rsidRDefault="00621752" w:rsidP="00C74E75">
            <w:pPr>
              <w:jc w:val="center"/>
              <w:rPr>
                <w:sz w:val="22"/>
                <w:szCs w:val="22"/>
              </w:rPr>
            </w:pPr>
            <w:r>
              <w:rPr>
                <w:sz w:val="22"/>
                <w:szCs w:val="22"/>
              </w:rPr>
              <w:t>003</w:t>
            </w:r>
          </w:p>
        </w:tc>
        <w:tc>
          <w:tcPr>
            <w:tcW w:w="9000" w:type="dxa"/>
            <w:tcBorders>
              <w:top w:val="single" w:sz="4" w:space="0" w:color="auto"/>
              <w:left w:val="single" w:sz="4" w:space="0" w:color="auto"/>
              <w:bottom w:val="single" w:sz="4" w:space="0" w:color="auto"/>
              <w:right w:val="single" w:sz="12" w:space="0" w:color="auto"/>
            </w:tcBorders>
          </w:tcPr>
          <w:p w:rsidR="00621752" w:rsidRPr="00621752" w:rsidRDefault="00621752" w:rsidP="00C74E75">
            <w:pPr>
              <w:rPr>
                <w:sz w:val="22"/>
                <w:szCs w:val="22"/>
              </w:rPr>
            </w:pPr>
            <w:r>
              <w:rPr>
                <w:sz w:val="22"/>
                <w:szCs w:val="22"/>
              </w:rPr>
              <w:t>Four Anaerobic Digester Boilers</w:t>
            </w:r>
          </w:p>
        </w:tc>
      </w:tr>
      <w:tr w:rsidR="00621752" w:rsidRPr="00494AEB" w:rsidTr="00937A51">
        <w:tc>
          <w:tcPr>
            <w:tcW w:w="1080" w:type="dxa"/>
            <w:tcBorders>
              <w:top w:val="single" w:sz="4" w:space="0" w:color="auto"/>
              <w:left w:val="single" w:sz="12" w:space="0" w:color="auto"/>
              <w:bottom w:val="single" w:sz="4" w:space="0" w:color="auto"/>
              <w:right w:val="single" w:sz="4" w:space="0" w:color="auto"/>
            </w:tcBorders>
          </w:tcPr>
          <w:p w:rsidR="00621752" w:rsidRPr="00494AEB" w:rsidRDefault="00621752" w:rsidP="00C74E75">
            <w:pPr>
              <w:jc w:val="center"/>
              <w:rPr>
                <w:sz w:val="22"/>
                <w:szCs w:val="22"/>
              </w:rPr>
            </w:pPr>
            <w:r>
              <w:rPr>
                <w:sz w:val="22"/>
                <w:szCs w:val="22"/>
              </w:rPr>
              <w:t>004</w:t>
            </w:r>
          </w:p>
        </w:tc>
        <w:tc>
          <w:tcPr>
            <w:tcW w:w="9000" w:type="dxa"/>
            <w:tcBorders>
              <w:top w:val="single" w:sz="4" w:space="0" w:color="auto"/>
              <w:left w:val="single" w:sz="4" w:space="0" w:color="auto"/>
              <w:bottom w:val="single" w:sz="4" w:space="0" w:color="auto"/>
              <w:right w:val="single" w:sz="12" w:space="0" w:color="auto"/>
            </w:tcBorders>
          </w:tcPr>
          <w:p w:rsidR="00621752" w:rsidRPr="00621752" w:rsidRDefault="00621752" w:rsidP="00C74E75">
            <w:pPr>
              <w:rPr>
                <w:sz w:val="22"/>
                <w:szCs w:val="22"/>
              </w:rPr>
            </w:pPr>
            <w:r>
              <w:rPr>
                <w:sz w:val="22"/>
                <w:szCs w:val="22"/>
              </w:rPr>
              <w:t>Flare</w:t>
            </w:r>
          </w:p>
        </w:tc>
      </w:tr>
      <w:tr w:rsidR="00ED5130" w:rsidRPr="00494AEB" w:rsidTr="00937A51">
        <w:tc>
          <w:tcPr>
            <w:tcW w:w="1080" w:type="dxa"/>
            <w:tcBorders>
              <w:top w:val="single" w:sz="4" w:space="0" w:color="auto"/>
              <w:left w:val="single" w:sz="12" w:space="0" w:color="auto"/>
              <w:bottom w:val="single" w:sz="12" w:space="0" w:color="auto"/>
              <w:right w:val="single" w:sz="4" w:space="0" w:color="auto"/>
            </w:tcBorders>
          </w:tcPr>
          <w:p w:rsidR="00ED5130" w:rsidRPr="00494AEB" w:rsidRDefault="00621752" w:rsidP="00C74E75">
            <w:pPr>
              <w:jc w:val="center"/>
              <w:rPr>
                <w:sz w:val="22"/>
                <w:szCs w:val="22"/>
              </w:rPr>
            </w:pPr>
            <w:r>
              <w:rPr>
                <w:sz w:val="22"/>
                <w:szCs w:val="22"/>
              </w:rPr>
              <w:t>005</w:t>
            </w:r>
          </w:p>
        </w:tc>
        <w:tc>
          <w:tcPr>
            <w:tcW w:w="9000" w:type="dxa"/>
            <w:tcBorders>
              <w:top w:val="single" w:sz="4" w:space="0" w:color="auto"/>
              <w:left w:val="single" w:sz="4" w:space="0" w:color="auto"/>
              <w:bottom w:val="single" w:sz="12" w:space="0" w:color="auto"/>
              <w:right w:val="single" w:sz="12" w:space="0" w:color="auto"/>
            </w:tcBorders>
          </w:tcPr>
          <w:p w:rsidR="00ED5130" w:rsidRPr="00621752" w:rsidRDefault="00621752" w:rsidP="00C74E75">
            <w:pPr>
              <w:rPr>
                <w:bCs/>
                <w:sz w:val="22"/>
                <w:szCs w:val="22"/>
              </w:rPr>
            </w:pPr>
            <w:r>
              <w:rPr>
                <w:bCs/>
                <w:sz w:val="22"/>
                <w:szCs w:val="22"/>
              </w:rPr>
              <w:t>Two Digester Gas Generator Units</w:t>
            </w:r>
          </w:p>
        </w:tc>
      </w:tr>
    </w:tbl>
    <w:p w:rsidR="00ED5130" w:rsidRPr="006244BD" w:rsidRDefault="00ED5130" w:rsidP="00ED5130">
      <w:pPr>
        <w:numPr>
          <w:ilvl w:val="12"/>
          <w:numId w:val="0"/>
        </w:numPr>
        <w:spacing w:before="120" w:after="120"/>
        <w:rPr>
          <w:b/>
          <w:sz w:val="22"/>
          <w:szCs w:val="22"/>
        </w:rPr>
      </w:pPr>
      <w:r>
        <w:rPr>
          <w:b/>
          <w:sz w:val="22"/>
          <w:szCs w:val="22"/>
        </w:rPr>
        <w:t>APPLICABLE REGULATIONS</w:t>
      </w:r>
    </w:p>
    <w:p w:rsidR="00ED5130" w:rsidRPr="006244BD" w:rsidRDefault="00ED5130" w:rsidP="00ED5130">
      <w:pPr>
        <w:numPr>
          <w:ilvl w:val="12"/>
          <w:numId w:val="0"/>
        </w:numPr>
        <w:spacing w:after="120"/>
        <w:rPr>
          <w:sz w:val="22"/>
          <w:szCs w:val="22"/>
        </w:rPr>
      </w:pPr>
      <w:r w:rsidRPr="00C01B12">
        <w:rPr>
          <w:sz w:val="22"/>
          <w:szCs w:val="22"/>
        </w:rPr>
        <w:t>A summary of applicable regulations is</w:t>
      </w:r>
      <w:r w:rsidR="00D71948">
        <w:rPr>
          <w:sz w:val="22"/>
          <w:szCs w:val="22"/>
        </w:rPr>
        <w:t xml:space="preserve"> shown in the following table.</w:t>
      </w:r>
    </w:p>
    <w:tbl>
      <w:tblPr>
        <w:tblW w:w="1008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560"/>
        <w:gridCol w:w="2520"/>
      </w:tblGrid>
      <w:tr w:rsidR="00ED5130" w:rsidRPr="008401CA" w:rsidTr="00336CCC">
        <w:tc>
          <w:tcPr>
            <w:tcW w:w="7560" w:type="dxa"/>
            <w:tcBorders>
              <w:bottom w:val="single" w:sz="12" w:space="0" w:color="auto"/>
              <w:right w:val="single" w:sz="4" w:space="0" w:color="auto"/>
            </w:tcBorders>
            <w:shd w:val="clear" w:color="auto" w:fill="BDD6EE" w:themeFill="accent1" w:themeFillTint="66"/>
            <w:vAlign w:val="center"/>
          </w:tcPr>
          <w:p w:rsidR="00ED5130" w:rsidRPr="008401CA" w:rsidRDefault="00ED5130" w:rsidP="00C74E75">
            <w:pPr>
              <w:rPr>
                <w:b/>
                <w:sz w:val="22"/>
                <w:szCs w:val="22"/>
              </w:rPr>
            </w:pPr>
            <w:r w:rsidRPr="008401CA">
              <w:rPr>
                <w:b/>
                <w:sz w:val="22"/>
                <w:szCs w:val="22"/>
              </w:rPr>
              <w:t>Regulation</w:t>
            </w:r>
          </w:p>
        </w:tc>
        <w:tc>
          <w:tcPr>
            <w:tcW w:w="2520" w:type="dxa"/>
            <w:tcBorders>
              <w:left w:val="single" w:sz="4" w:space="0" w:color="auto"/>
              <w:bottom w:val="single" w:sz="12" w:space="0" w:color="auto"/>
            </w:tcBorders>
            <w:shd w:val="clear" w:color="auto" w:fill="BDD6EE" w:themeFill="accent1" w:themeFillTint="66"/>
            <w:vAlign w:val="center"/>
          </w:tcPr>
          <w:p w:rsidR="00ED5130" w:rsidRPr="008401CA" w:rsidRDefault="001A67E6" w:rsidP="00C74E75">
            <w:pPr>
              <w:jc w:val="center"/>
              <w:rPr>
                <w:sz w:val="22"/>
                <w:szCs w:val="22"/>
              </w:rPr>
            </w:pPr>
            <w:r>
              <w:rPr>
                <w:b/>
                <w:sz w:val="22"/>
                <w:szCs w:val="22"/>
              </w:rPr>
              <w:t>EU Nos</w:t>
            </w:r>
            <w:r w:rsidR="00ED5130" w:rsidRPr="008401CA">
              <w:rPr>
                <w:b/>
                <w:sz w:val="22"/>
                <w:szCs w:val="22"/>
              </w:rPr>
              <w:t>.</w:t>
            </w:r>
          </w:p>
        </w:tc>
      </w:tr>
      <w:tr w:rsidR="00ED5130" w:rsidRPr="008401CA" w:rsidTr="00150944">
        <w:tc>
          <w:tcPr>
            <w:tcW w:w="10080" w:type="dxa"/>
            <w:gridSpan w:val="2"/>
            <w:tcBorders>
              <w:bottom w:val="single" w:sz="4" w:space="0" w:color="auto"/>
            </w:tcBorders>
            <w:vAlign w:val="center"/>
          </w:tcPr>
          <w:p w:rsidR="00ED5130" w:rsidRPr="008401CA" w:rsidRDefault="00ED5130" w:rsidP="00C74E75">
            <w:pPr>
              <w:jc w:val="center"/>
              <w:rPr>
                <w:b/>
                <w:sz w:val="22"/>
                <w:szCs w:val="22"/>
              </w:rPr>
            </w:pPr>
            <w:r w:rsidRPr="008401CA">
              <w:rPr>
                <w:i/>
                <w:sz w:val="22"/>
                <w:szCs w:val="22"/>
              </w:rPr>
              <w:t>Federal Rule Citations</w:t>
            </w:r>
          </w:p>
        </w:tc>
      </w:tr>
      <w:tr w:rsidR="00C86F7D" w:rsidRPr="008401CA" w:rsidTr="00150944">
        <w:tc>
          <w:tcPr>
            <w:tcW w:w="7560" w:type="dxa"/>
            <w:tcBorders>
              <w:top w:val="single" w:sz="4" w:space="0" w:color="auto"/>
              <w:bottom w:val="single" w:sz="4" w:space="0" w:color="auto"/>
              <w:right w:val="single" w:sz="4" w:space="0" w:color="auto"/>
            </w:tcBorders>
          </w:tcPr>
          <w:p w:rsidR="00C86F7D" w:rsidRPr="008401CA" w:rsidRDefault="00C86F7D" w:rsidP="00C74E75">
            <w:pPr>
              <w:rPr>
                <w:sz w:val="22"/>
                <w:szCs w:val="22"/>
              </w:rPr>
            </w:pPr>
            <w:r>
              <w:rPr>
                <w:sz w:val="22"/>
                <w:szCs w:val="22"/>
              </w:rPr>
              <w:t xml:space="preserve">40 CFR 60, Subpart A - </w:t>
            </w:r>
            <w:r w:rsidRPr="008401CA">
              <w:rPr>
                <w:sz w:val="22"/>
                <w:szCs w:val="22"/>
              </w:rPr>
              <w:t>NSPS General Provisions</w:t>
            </w:r>
            <w:r>
              <w:rPr>
                <w:sz w:val="22"/>
                <w:szCs w:val="22"/>
              </w:rPr>
              <w:t>.</w:t>
            </w:r>
          </w:p>
        </w:tc>
        <w:tc>
          <w:tcPr>
            <w:tcW w:w="2520" w:type="dxa"/>
            <w:vMerge w:val="restart"/>
            <w:tcBorders>
              <w:top w:val="single" w:sz="4" w:space="0" w:color="auto"/>
              <w:left w:val="single" w:sz="4" w:space="0" w:color="auto"/>
            </w:tcBorders>
            <w:vAlign w:val="center"/>
          </w:tcPr>
          <w:p w:rsidR="00C86F7D" w:rsidRPr="008401CA" w:rsidRDefault="00C86F7D" w:rsidP="00C86F7D">
            <w:pPr>
              <w:jc w:val="center"/>
              <w:rPr>
                <w:sz w:val="22"/>
                <w:szCs w:val="22"/>
              </w:rPr>
            </w:pPr>
            <w:r>
              <w:rPr>
                <w:sz w:val="22"/>
                <w:szCs w:val="22"/>
              </w:rPr>
              <w:t>005</w:t>
            </w:r>
          </w:p>
        </w:tc>
      </w:tr>
      <w:tr w:rsidR="00C86F7D" w:rsidRPr="008401CA" w:rsidTr="00937A51">
        <w:tc>
          <w:tcPr>
            <w:tcW w:w="7560" w:type="dxa"/>
            <w:tcBorders>
              <w:top w:val="single" w:sz="4" w:space="0" w:color="auto"/>
              <w:bottom w:val="single" w:sz="4" w:space="0" w:color="auto"/>
              <w:right w:val="single" w:sz="4" w:space="0" w:color="auto"/>
            </w:tcBorders>
          </w:tcPr>
          <w:p w:rsidR="00C86F7D" w:rsidRPr="00525C99" w:rsidRDefault="00C86F7D" w:rsidP="00C74E75">
            <w:pPr>
              <w:rPr>
                <w:sz w:val="22"/>
                <w:szCs w:val="22"/>
              </w:rPr>
            </w:pPr>
            <w:r w:rsidRPr="00525C99">
              <w:rPr>
                <w:sz w:val="22"/>
                <w:szCs w:val="22"/>
              </w:rPr>
              <w:t>40 CFR 60, Subpart JJJJ - Standards of Performance for Stationary Spark Ignition Internal Combustion Engines.</w:t>
            </w:r>
          </w:p>
        </w:tc>
        <w:tc>
          <w:tcPr>
            <w:tcW w:w="2520" w:type="dxa"/>
            <w:vMerge/>
            <w:tcBorders>
              <w:left w:val="single" w:sz="4" w:space="0" w:color="auto"/>
              <w:bottom w:val="single" w:sz="4" w:space="0" w:color="auto"/>
            </w:tcBorders>
            <w:vAlign w:val="center"/>
          </w:tcPr>
          <w:p w:rsidR="00C86F7D" w:rsidRPr="00525C99" w:rsidRDefault="00C86F7D" w:rsidP="00C74E75">
            <w:pPr>
              <w:jc w:val="center"/>
              <w:rPr>
                <w:sz w:val="22"/>
                <w:szCs w:val="22"/>
              </w:rPr>
            </w:pPr>
          </w:p>
        </w:tc>
      </w:tr>
      <w:tr w:rsidR="004D39B8" w:rsidRPr="008401CA" w:rsidTr="00937A51">
        <w:tc>
          <w:tcPr>
            <w:tcW w:w="7560" w:type="dxa"/>
            <w:tcBorders>
              <w:top w:val="single" w:sz="4" w:space="0" w:color="auto"/>
              <w:bottom w:val="single" w:sz="4" w:space="0" w:color="auto"/>
              <w:right w:val="single" w:sz="4" w:space="0" w:color="auto"/>
            </w:tcBorders>
          </w:tcPr>
          <w:p w:rsidR="004D39B8" w:rsidRPr="00525C99" w:rsidRDefault="004D39B8" w:rsidP="00C74E75">
            <w:pPr>
              <w:rPr>
                <w:sz w:val="22"/>
                <w:szCs w:val="22"/>
              </w:rPr>
            </w:pPr>
            <w:r w:rsidRPr="00525C99">
              <w:rPr>
                <w:sz w:val="22"/>
                <w:szCs w:val="22"/>
              </w:rPr>
              <w:t>40 CFR 63, Subpart A - NESHAP General Provisions.</w:t>
            </w:r>
          </w:p>
        </w:tc>
        <w:tc>
          <w:tcPr>
            <w:tcW w:w="2520" w:type="dxa"/>
            <w:tcBorders>
              <w:top w:val="single" w:sz="4" w:space="0" w:color="auto"/>
              <w:left w:val="single" w:sz="4" w:space="0" w:color="auto"/>
              <w:bottom w:val="single" w:sz="4" w:space="0" w:color="auto"/>
            </w:tcBorders>
            <w:vAlign w:val="center"/>
          </w:tcPr>
          <w:p w:rsidR="004D39B8" w:rsidRPr="00525C99" w:rsidRDefault="004622B6" w:rsidP="004D39B8">
            <w:pPr>
              <w:jc w:val="center"/>
              <w:rPr>
                <w:sz w:val="22"/>
                <w:szCs w:val="22"/>
              </w:rPr>
            </w:pPr>
            <w:r>
              <w:rPr>
                <w:sz w:val="22"/>
                <w:szCs w:val="22"/>
              </w:rPr>
              <w:t>002</w:t>
            </w:r>
            <w:r w:rsidR="00701C1F" w:rsidRPr="00525C99">
              <w:rPr>
                <w:sz w:val="22"/>
                <w:szCs w:val="22"/>
              </w:rPr>
              <w:t xml:space="preserve"> &amp; 005</w:t>
            </w:r>
          </w:p>
        </w:tc>
      </w:tr>
      <w:tr w:rsidR="004D39B8" w:rsidRPr="008401CA" w:rsidTr="00937A51">
        <w:tc>
          <w:tcPr>
            <w:tcW w:w="7560" w:type="dxa"/>
            <w:tcBorders>
              <w:top w:val="single" w:sz="4" w:space="0" w:color="auto"/>
              <w:bottom w:val="single" w:sz="4" w:space="0" w:color="auto"/>
              <w:right w:val="single" w:sz="4" w:space="0" w:color="auto"/>
            </w:tcBorders>
          </w:tcPr>
          <w:p w:rsidR="004D39B8" w:rsidRPr="00525C99" w:rsidRDefault="004D39B8" w:rsidP="00C74E75">
            <w:pPr>
              <w:rPr>
                <w:sz w:val="22"/>
                <w:szCs w:val="22"/>
              </w:rPr>
            </w:pPr>
            <w:r w:rsidRPr="00525C99">
              <w:rPr>
                <w:sz w:val="22"/>
                <w:szCs w:val="22"/>
              </w:rPr>
              <w:t>40 CFR 63, Subpart ZZZZ - National Emissions Standards for Hazardous Air Pollutants (NESHAP) for Stationary Reciprocating Internal Combustion Engines (RICE).</w:t>
            </w:r>
          </w:p>
        </w:tc>
        <w:tc>
          <w:tcPr>
            <w:tcW w:w="2520" w:type="dxa"/>
            <w:tcBorders>
              <w:top w:val="single" w:sz="4" w:space="0" w:color="auto"/>
              <w:left w:val="single" w:sz="4" w:space="0" w:color="auto"/>
              <w:bottom w:val="single" w:sz="4" w:space="0" w:color="auto"/>
            </w:tcBorders>
            <w:vAlign w:val="center"/>
          </w:tcPr>
          <w:p w:rsidR="004D39B8" w:rsidRPr="00525C99" w:rsidRDefault="00C86F7D" w:rsidP="00C74E75">
            <w:pPr>
              <w:jc w:val="center"/>
              <w:rPr>
                <w:sz w:val="22"/>
                <w:szCs w:val="22"/>
              </w:rPr>
            </w:pPr>
            <w:r w:rsidRPr="00525C99">
              <w:rPr>
                <w:sz w:val="22"/>
                <w:szCs w:val="22"/>
              </w:rPr>
              <w:t>002 &amp; 005</w:t>
            </w:r>
          </w:p>
        </w:tc>
      </w:tr>
      <w:tr w:rsidR="00ED5130" w:rsidRPr="008401CA" w:rsidTr="00150944">
        <w:tc>
          <w:tcPr>
            <w:tcW w:w="10080" w:type="dxa"/>
            <w:gridSpan w:val="2"/>
            <w:tcBorders>
              <w:top w:val="single" w:sz="4" w:space="0" w:color="auto"/>
              <w:bottom w:val="single" w:sz="4" w:space="0" w:color="auto"/>
            </w:tcBorders>
            <w:vAlign w:val="center"/>
          </w:tcPr>
          <w:p w:rsidR="00ED5130" w:rsidRPr="00525C99" w:rsidRDefault="00ED5130" w:rsidP="00C74E75">
            <w:pPr>
              <w:jc w:val="center"/>
              <w:rPr>
                <w:i/>
                <w:sz w:val="22"/>
                <w:szCs w:val="22"/>
              </w:rPr>
            </w:pPr>
            <w:r w:rsidRPr="00525C99">
              <w:rPr>
                <w:i/>
                <w:sz w:val="22"/>
                <w:szCs w:val="22"/>
              </w:rPr>
              <w:t>State Rule Citations</w:t>
            </w:r>
          </w:p>
        </w:tc>
      </w:tr>
      <w:tr w:rsidR="00C11D77" w:rsidRPr="008401CA" w:rsidTr="00150944">
        <w:tc>
          <w:tcPr>
            <w:tcW w:w="7560" w:type="dxa"/>
            <w:tcBorders>
              <w:top w:val="single" w:sz="4" w:space="0" w:color="auto"/>
              <w:bottom w:val="single" w:sz="4" w:space="0" w:color="auto"/>
              <w:right w:val="single" w:sz="4" w:space="0" w:color="auto"/>
            </w:tcBorders>
            <w:shd w:val="clear" w:color="auto" w:fill="auto"/>
          </w:tcPr>
          <w:p w:rsidR="00C11D77" w:rsidRPr="00525C99" w:rsidRDefault="00C11D77" w:rsidP="00C74E75">
            <w:pPr>
              <w:rPr>
                <w:sz w:val="22"/>
                <w:szCs w:val="22"/>
              </w:rPr>
            </w:pPr>
            <w:r w:rsidRPr="00525C99">
              <w:rPr>
                <w:sz w:val="22"/>
                <w:szCs w:val="22"/>
              </w:rPr>
              <w:t>Chapter 62-4, F.A.C.:  Permits.</w:t>
            </w:r>
          </w:p>
        </w:tc>
        <w:tc>
          <w:tcPr>
            <w:tcW w:w="2520" w:type="dxa"/>
            <w:tcBorders>
              <w:top w:val="single" w:sz="4" w:space="0" w:color="auto"/>
              <w:left w:val="single" w:sz="4" w:space="0" w:color="auto"/>
              <w:bottom w:val="single" w:sz="4" w:space="0" w:color="auto"/>
            </w:tcBorders>
            <w:shd w:val="clear" w:color="auto" w:fill="auto"/>
            <w:vAlign w:val="center"/>
          </w:tcPr>
          <w:p w:rsidR="00C11D77" w:rsidRPr="00525C99" w:rsidRDefault="004D1B11" w:rsidP="00C74E75">
            <w:pPr>
              <w:jc w:val="center"/>
              <w:rPr>
                <w:sz w:val="22"/>
                <w:szCs w:val="22"/>
              </w:rPr>
            </w:pPr>
            <w:r w:rsidRPr="00525C99">
              <w:rPr>
                <w:sz w:val="22"/>
                <w:szCs w:val="22"/>
              </w:rPr>
              <w:t>002 - 005</w:t>
            </w:r>
          </w:p>
        </w:tc>
      </w:tr>
      <w:tr w:rsidR="00DF55A0" w:rsidRPr="008401CA" w:rsidTr="00937A51">
        <w:tc>
          <w:tcPr>
            <w:tcW w:w="7560" w:type="dxa"/>
            <w:tcBorders>
              <w:top w:val="single" w:sz="4" w:space="0" w:color="auto"/>
              <w:bottom w:val="single" w:sz="4" w:space="0" w:color="auto"/>
              <w:right w:val="single" w:sz="4" w:space="0" w:color="auto"/>
            </w:tcBorders>
            <w:shd w:val="clear" w:color="auto" w:fill="auto"/>
          </w:tcPr>
          <w:p w:rsidR="00DF55A0" w:rsidRPr="00525C99" w:rsidRDefault="00DF55A0" w:rsidP="00C74E75">
            <w:pPr>
              <w:rPr>
                <w:sz w:val="22"/>
                <w:szCs w:val="22"/>
              </w:rPr>
            </w:pPr>
            <w:r w:rsidRPr="00525C99">
              <w:rPr>
                <w:sz w:val="22"/>
                <w:szCs w:val="22"/>
              </w:rPr>
              <w:t>Rule 62-204.800, F.A.C.:  Federal Regulations Adopted by Reference.</w:t>
            </w:r>
          </w:p>
        </w:tc>
        <w:tc>
          <w:tcPr>
            <w:tcW w:w="2520" w:type="dxa"/>
            <w:tcBorders>
              <w:top w:val="single" w:sz="4" w:space="0" w:color="auto"/>
              <w:left w:val="single" w:sz="4" w:space="0" w:color="auto"/>
              <w:bottom w:val="single" w:sz="4" w:space="0" w:color="auto"/>
            </w:tcBorders>
            <w:shd w:val="clear" w:color="auto" w:fill="auto"/>
            <w:vAlign w:val="center"/>
          </w:tcPr>
          <w:p w:rsidR="00DF55A0" w:rsidRPr="00525C99" w:rsidRDefault="004622B6" w:rsidP="00C74E75">
            <w:pPr>
              <w:jc w:val="center"/>
              <w:rPr>
                <w:sz w:val="22"/>
                <w:szCs w:val="22"/>
              </w:rPr>
            </w:pPr>
            <w:r>
              <w:rPr>
                <w:sz w:val="22"/>
                <w:szCs w:val="22"/>
              </w:rPr>
              <w:t xml:space="preserve">002 </w:t>
            </w:r>
            <w:r w:rsidR="00AF14E6" w:rsidRPr="00525C99">
              <w:rPr>
                <w:sz w:val="22"/>
                <w:szCs w:val="22"/>
              </w:rPr>
              <w:t>&amp; 005</w:t>
            </w:r>
          </w:p>
        </w:tc>
      </w:tr>
      <w:tr w:rsidR="006F740B" w:rsidRPr="008401CA" w:rsidTr="00937A51">
        <w:tc>
          <w:tcPr>
            <w:tcW w:w="7560" w:type="dxa"/>
            <w:tcBorders>
              <w:top w:val="single" w:sz="4" w:space="0" w:color="auto"/>
              <w:bottom w:val="single" w:sz="4" w:space="0" w:color="auto"/>
              <w:right w:val="single" w:sz="4" w:space="0" w:color="auto"/>
            </w:tcBorders>
            <w:shd w:val="clear" w:color="auto" w:fill="auto"/>
          </w:tcPr>
          <w:p w:rsidR="006F740B" w:rsidRPr="00525C99" w:rsidRDefault="006F740B" w:rsidP="00C74E75">
            <w:pPr>
              <w:rPr>
                <w:sz w:val="22"/>
                <w:szCs w:val="22"/>
              </w:rPr>
            </w:pPr>
            <w:r w:rsidRPr="00525C99">
              <w:rPr>
                <w:sz w:val="22"/>
                <w:szCs w:val="22"/>
              </w:rPr>
              <w:t>Rule 62-210.200, F.A.C.:  Definitions.</w:t>
            </w:r>
          </w:p>
        </w:tc>
        <w:tc>
          <w:tcPr>
            <w:tcW w:w="2520" w:type="dxa"/>
            <w:vMerge w:val="restart"/>
            <w:tcBorders>
              <w:top w:val="single" w:sz="4" w:space="0" w:color="auto"/>
              <w:left w:val="single" w:sz="4" w:space="0" w:color="auto"/>
            </w:tcBorders>
            <w:shd w:val="clear" w:color="auto" w:fill="auto"/>
            <w:vAlign w:val="center"/>
          </w:tcPr>
          <w:p w:rsidR="006F740B" w:rsidRPr="00525C99" w:rsidRDefault="004D1B11" w:rsidP="00C74E75">
            <w:pPr>
              <w:jc w:val="center"/>
              <w:rPr>
                <w:sz w:val="22"/>
                <w:szCs w:val="22"/>
              </w:rPr>
            </w:pPr>
            <w:r w:rsidRPr="00525C99">
              <w:rPr>
                <w:sz w:val="22"/>
                <w:szCs w:val="22"/>
              </w:rPr>
              <w:t>002 - 005</w:t>
            </w:r>
          </w:p>
        </w:tc>
      </w:tr>
      <w:tr w:rsidR="006F740B" w:rsidRPr="008401CA" w:rsidTr="00937A51">
        <w:tc>
          <w:tcPr>
            <w:tcW w:w="7560" w:type="dxa"/>
            <w:tcBorders>
              <w:top w:val="single" w:sz="4" w:space="0" w:color="auto"/>
              <w:bottom w:val="single" w:sz="4" w:space="0" w:color="auto"/>
              <w:right w:val="single" w:sz="4" w:space="0" w:color="auto"/>
            </w:tcBorders>
            <w:shd w:val="clear" w:color="auto" w:fill="auto"/>
          </w:tcPr>
          <w:p w:rsidR="006F740B" w:rsidRPr="00525C99" w:rsidRDefault="006F740B" w:rsidP="00C74E75">
            <w:pPr>
              <w:rPr>
                <w:sz w:val="22"/>
                <w:szCs w:val="22"/>
              </w:rPr>
            </w:pPr>
            <w:r w:rsidRPr="00525C99">
              <w:rPr>
                <w:sz w:val="22"/>
                <w:szCs w:val="22"/>
              </w:rPr>
              <w:t>Rule 62-210.300, F.A.C.:  Permits Required.</w:t>
            </w:r>
          </w:p>
        </w:tc>
        <w:tc>
          <w:tcPr>
            <w:tcW w:w="2520" w:type="dxa"/>
            <w:vMerge/>
            <w:tcBorders>
              <w:left w:val="single" w:sz="4" w:space="0" w:color="auto"/>
            </w:tcBorders>
            <w:shd w:val="clear" w:color="auto" w:fill="auto"/>
            <w:vAlign w:val="center"/>
          </w:tcPr>
          <w:p w:rsidR="006F740B" w:rsidRPr="00525C99" w:rsidRDefault="006F740B" w:rsidP="00C74E75">
            <w:pPr>
              <w:jc w:val="center"/>
              <w:rPr>
                <w:sz w:val="22"/>
                <w:szCs w:val="22"/>
              </w:rPr>
            </w:pPr>
          </w:p>
        </w:tc>
      </w:tr>
      <w:tr w:rsidR="006F740B" w:rsidRPr="008401CA" w:rsidTr="00937A51">
        <w:tc>
          <w:tcPr>
            <w:tcW w:w="7560" w:type="dxa"/>
            <w:tcBorders>
              <w:top w:val="single" w:sz="4" w:space="0" w:color="auto"/>
              <w:bottom w:val="single" w:sz="4" w:space="0" w:color="auto"/>
              <w:right w:val="single" w:sz="4" w:space="0" w:color="auto"/>
            </w:tcBorders>
            <w:shd w:val="clear" w:color="auto" w:fill="auto"/>
          </w:tcPr>
          <w:p w:rsidR="006F740B" w:rsidRPr="00525C99" w:rsidRDefault="006F740B" w:rsidP="00C74E75">
            <w:pPr>
              <w:rPr>
                <w:sz w:val="22"/>
                <w:szCs w:val="22"/>
              </w:rPr>
            </w:pPr>
            <w:r w:rsidRPr="00525C99">
              <w:rPr>
                <w:sz w:val="22"/>
                <w:szCs w:val="22"/>
              </w:rPr>
              <w:t>Rule 62-296.320, F.A.C.:  General Pollutant Emission Limiting Standards.</w:t>
            </w:r>
          </w:p>
        </w:tc>
        <w:tc>
          <w:tcPr>
            <w:tcW w:w="2520" w:type="dxa"/>
            <w:vMerge/>
            <w:tcBorders>
              <w:left w:val="single" w:sz="4" w:space="0" w:color="auto"/>
              <w:bottom w:val="single" w:sz="4" w:space="0" w:color="auto"/>
            </w:tcBorders>
            <w:shd w:val="clear" w:color="auto" w:fill="auto"/>
            <w:vAlign w:val="center"/>
          </w:tcPr>
          <w:p w:rsidR="006F740B" w:rsidRPr="00525C99" w:rsidRDefault="006F740B" w:rsidP="00C74E75">
            <w:pPr>
              <w:jc w:val="center"/>
              <w:rPr>
                <w:sz w:val="22"/>
                <w:szCs w:val="22"/>
              </w:rPr>
            </w:pPr>
          </w:p>
        </w:tc>
      </w:tr>
      <w:tr w:rsidR="00ED5130" w:rsidRPr="008401CA" w:rsidTr="00937A51">
        <w:tc>
          <w:tcPr>
            <w:tcW w:w="7560" w:type="dxa"/>
            <w:tcBorders>
              <w:top w:val="single" w:sz="4" w:space="0" w:color="auto"/>
              <w:bottom w:val="single" w:sz="4" w:space="0" w:color="auto"/>
              <w:right w:val="single" w:sz="4" w:space="0" w:color="auto"/>
            </w:tcBorders>
            <w:shd w:val="clear" w:color="auto" w:fill="auto"/>
          </w:tcPr>
          <w:p w:rsidR="00ED5130" w:rsidRPr="00525C99" w:rsidRDefault="00623E7D" w:rsidP="00C74E75">
            <w:pPr>
              <w:rPr>
                <w:sz w:val="22"/>
                <w:szCs w:val="22"/>
              </w:rPr>
            </w:pPr>
            <w:r w:rsidRPr="00525C99">
              <w:rPr>
                <w:sz w:val="22"/>
                <w:szCs w:val="22"/>
              </w:rPr>
              <w:t>Rule 62-296.406, F.A.C.:  Fossil Fuel Steam Generators with Less Than 250 Million British Thermal Units per Hour (MMBtu/hour) Heat Input, New and Existing Emissions Units.</w:t>
            </w:r>
          </w:p>
        </w:tc>
        <w:tc>
          <w:tcPr>
            <w:tcW w:w="2520" w:type="dxa"/>
            <w:tcBorders>
              <w:top w:val="single" w:sz="4" w:space="0" w:color="auto"/>
              <w:left w:val="single" w:sz="4" w:space="0" w:color="auto"/>
              <w:bottom w:val="single" w:sz="4" w:space="0" w:color="auto"/>
            </w:tcBorders>
            <w:shd w:val="clear" w:color="auto" w:fill="auto"/>
            <w:vAlign w:val="center"/>
          </w:tcPr>
          <w:p w:rsidR="00ED5130" w:rsidRPr="00525C99" w:rsidRDefault="00623E7D" w:rsidP="00C74E75">
            <w:pPr>
              <w:jc w:val="center"/>
              <w:rPr>
                <w:sz w:val="22"/>
                <w:szCs w:val="22"/>
              </w:rPr>
            </w:pPr>
            <w:r w:rsidRPr="00525C99">
              <w:rPr>
                <w:sz w:val="22"/>
                <w:szCs w:val="22"/>
              </w:rPr>
              <w:t>003</w:t>
            </w:r>
          </w:p>
        </w:tc>
      </w:tr>
      <w:tr w:rsidR="003550A9" w:rsidRPr="008401CA" w:rsidTr="00150944">
        <w:trPr>
          <w:trHeight w:val="393"/>
        </w:trPr>
        <w:tc>
          <w:tcPr>
            <w:tcW w:w="7560" w:type="dxa"/>
            <w:tcBorders>
              <w:top w:val="single" w:sz="4" w:space="0" w:color="auto"/>
              <w:bottom w:val="single" w:sz="12" w:space="0" w:color="auto"/>
              <w:right w:val="single" w:sz="4" w:space="0" w:color="auto"/>
            </w:tcBorders>
            <w:shd w:val="clear" w:color="auto" w:fill="auto"/>
            <w:vAlign w:val="center"/>
          </w:tcPr>
          <w:p w:rsidR="003550A9" w:rsidRDefault="003550A9" w:rsidP="00D73928">
            <w:pPr>
              <w:rPr>
                <w:sz w:val="22"/>
                <w:szCs w:val="22"/>
              </w:rPr>
            </w:pPr>
            <w:r>
              <w:rPr>
                <w:sz w:val="22"/>
                <w:szCs w:val="22"/>
              </w:rPr>
              <w:t>Rule 62-297.310, F.A.C.:  General Emissions Test Requirements.</w:t>
            </w:r>
          </w:p>
        </w:tc>
        <w:tc>
          <w:tcPr>
            <w:tcW w:w="2520" w:type="dxa"/>
            <w:tcBorders>
              <w:top w:val="single" w:sz="4" w:space="0" w:color="auto"/>
              <w:left w:val="single" w:sz="4" w:space="0" w:color="auto"/>
              <w:bottom w:val="single" w:sz="12" w:space="0" w:color="auto"/>
            </w:tcBorders>
            <w:shd w:val="clear" w:color="auto" w:fill="auto"/>
            <w:vAlign w:val="center"/>
          </w:tcPr>
          <w:p w:rsidR="003550A9" w:rsidRDefault="00765990" w:rsidP="00C74E75">
            <w:pPr>
              <w:jc w:val="center"/>
              <w:rPr>
                <w:sz w:val="22"/>
                <w:szCs w:val="22"/>
              </w:rPr>
            </w:pPr>
            <w:r>
              <w:rPr>
                <w:sz w:val="22"/>
                <w:szCs w:val="22"/>
              </w:rPr>
              <w:t>002</w:t>
            </w:r>
            <w:r w:rsidR="00786D2F">
              <w:rPr>
                <w:sz w:val="22"/>
                <w:szCs w:val="22"/>
              </w:rPr>
              <w:t xml:space="preserve"> </w:t>
            </w:r>
            <w:r>
              <w:rPr>
                <w:sz w:val="22"/>
                <w:szCs w:val="22"/>
              </w:rPr>
              <w:t>-</w:t>
            </w:r>
            <w:r w:rsidR="00786D2F">
              <w:rPr>
                <w:sz w:val="22"/>
                <w:szCs w:val="22"/>
              </w:rPr>
              <w:t xml:space="preserve"> </w:t>
            </w:r>
            <w:r>
              <w:rPr>
                <w:sz w:val="22"/>
                <w:szCs w:val="22"/>
              </w:rPr>
              <w:t>005</w:t>
            </w:r>
          </w:p>
        </w:tc>
      </w:tr>
    </w:tbl>
    <w:p w:rsidR="00A478E0" w:rsidRPr="00C51AC5" w:rsidRDefault="00A478E0" w:rsidP="00A478E0">
      <w:pPr>
        <w:pStyle w:val="BodyText3"/>
        <w:numPr>
          <w:ilvl w:val="12"/>
          <w:numId w:val="0"/>
        </w:numPr>
        <w:spacing w:before="120"/>
        <w:rPr>
          <w:b/>
          <w:sz w:val="22"/>
          <w:szCs w:val="22"/>
        </w:rPr>
      </w:pPr>
      <w:r w:rsidRPr="006244BD">
        <w:rPr>
          <w:b/>
          <w:sz w:val="22"/>
          <w:szCs w:val="22"/>
        </w:rPr>
        <w:t>FACILITY REGULATORY CLASSIFICATION</w:t>
      </w:r>
    </w:p>
    <w:p w:rsidR="00A478E0" w:rsidRDefault="00A478E0" w:rsidP="005271ED">
      <w:pPr>
        <w:numPr>
          <w:ilvl w:val="0"/>
          <w:numId w:val="8"/>
        </w:numPr>
        <w:spacing w:after="120"/>
        <w:rPr>
          <w:sz w:val="22"/>
          <w:szCs w:val="22"/>
        </w:rPr>
      </w:pPr>
      <w:r w:rsidRPr="00B644A8">
        <w:rPr>
          <w:sz w:val="22"/>
          <w:szCs w:val="22"/>
        </w:rPr>
        <w:t xml:space="preserve">The </w:t>
      </w:r>
      <w:r w:rsidRPr="00726690">
        <w:rPr>
          <w:sz w:val="22"/>
          <w:szCs w:val="22"/>
        </w:rPr>
        <w:t>facility is not a major source of hazardous air pollutants (HAP).</w:t>
      </w:r>
    </w:p>
    <w:p w:rsidR="00216E8B" w:rsidRPr="00726690" w:rsidRDefault="00216E8B" w:rsidP="005271ED">
      <w:pPr>
        <w:numPr>
          <w:ilvl w:val="0"/>
          <w:numId w:val="8"/>
        </w:numPr>
        <w:spacing w:after="120"/>
        <w:rPr>
          <w:sz w:val="22"/>
          <w:szCs w:val="22"/>
        </w:rPr>
      </w:pPr>
      <w:r>
        <w:rPr>
          <w:sz w:val="22"/>
          <w:szCs w:val="22"/>
        </w:rPr>
        <w:t>The facility is a synthetic non-Title V source of air pollution.</w:t>
      </w:r>
    </w:p>
    <w:p w:rsidR="00A478E0" w:rsidRPr="00726690" w:rsidRDefault="00A478E0" w:rsidP="005271ED">
      <w:pPr>
        <w:pStyle w:val="BodyText"/>
        <w:numPr>
          <w:ilvl w:val="0"/>
          <w:numId w:val="8"/>
        </w:numPr>
        <w:jc w:val="left"/>
        <w:rPr>
          <w:sz w:val="22"/>
          <w:szCs w:val="22"/>
        </w:rPr>
      </w:pPr>
      <w:r w:rsidRPr="00726690">
        <w:rPr>
          <w:sz w:val="22"/>
          <w:szCs w:val="22"/>
        </w:rPr>
        <w:t xml:space="preserve">The facility has no </w:t>
      </w:r>
      <w:proofErr w:type="gramStart"/>
      <w:r w:rsidRPr="00726690">
        <w:rPr>
          <w:sz w:val="22"/>
          <w:szCs w:val="22"/>
        </w:rPr>
        <w:t>units</w:t>
      </w:r>
      <w:proofErr w:type="gramEnd"/>
      <w:r w:rsidRPr="00726690">
        <w:rPr>
          <w:sz w:val="22"/>
          <w:szCs w:val="22"/>
        </w:rPr>
        <w:t xml:space="preserve"> subject to the acid rain provisions of the Clean Air Act (CAA).</w:t>
      </w:r>
    </w:p>
    <w:p w:rsidR="00A478E0" w:rsidRPr="00726690" w:rsidRDefault="00A478E0" w:rsidP="005271ED">
      <w:pPr>
        <w:numPr>
          <w:ilvl w:val="0"/>
          <w:numId w:val="8"/>
        </w:numPr>
        <w:spacing w:after="120"/>
        <w:rPr>
          <w:sz w:val="22"/>
          <w:szCs w:val="22"/>
        </w:rPr>
      </w:pPr>
      <w:r w:rsidRPr="00726690">
        <w:rPr>
          <w:sz w:val="22"/>
          <w:szCs w:val="22"/>
        </w:rPr>
        <w:t>The facility is not a Title V major source of air pollution in accordance with Chapter 62-213, F.A.C.</w:t>
      </w:r>
    </w:p>
    <w:p w:rsidR="00DE6A6E" w:rsidRPr="00F96990" w:rsidRDefault="00A478E0" w:rsidP="005271ED">
      <w:pPr>
        <w:numPr>
          <w:ilvl w:val="0"/>
          <w:numId w:val="8"/>
        </w:numPr>
        <w:spacing w:after="120"/>
        <w:rPr>
          <w:sz w:val="22"/>
          <w:szCs w:val="22"/>
        </w:rPr>
      </w:pPr>
      <w:r w:rsidRPr="00726690">
        <w:rPr>
          <w:sz w:val="22"/>
          <w:szCs w:val="22"/>
        </w:rPr>
        <w:t>The facility is not a major stationary</w:t>
      </w:r>
      <w:r w:rsidRPr="00F06017">
        <w:rPr>
          <w:sz w:val="22"/>
          <w:szCs w:val="22"/>
        </w:rPr>
        <w:t xml:space="preserve"> source in accordance with Rule 62-212.400, F.A.C. for the </w:t>
      </w:r>
      <w:r w:rsidRPr="00997A0F">
        <w:rPr>
          <w:sz w:val="22"/>
          <w:szCs w:val="22"/>
        </w:rPr>
        <w:t>Prevention of</w:t>
      </w:r>
      <w:r>
        <w:rPr>
          <w:sz w:val="22"/>
          <w:szCs w:val="22"/>
        </w:rPr>
        <w:t xml:space="preserve"> Significant Deterioration (PSD) of Air Quality</w:t>
      </w:r>
      <w:r w:rsidRPr="00F06017">
        <w:rPr>
          <w:sz w:val="22"/>
          <w:szCs w:val="22"/>
        </w:rPr>
        <w:t>.</w:t>
      </w:r>
    </w:p>
    <w:p w:rsidR="00DE6A6E" w:rsidRPr="00877418" w:rsidRDefault="00DE6A6E" w:rsidP="00DE6A6E">
      <w:pPr>
        <w:ind w:hanging="630"/>
        <w:rPr>
          <w:sz w:val="22"/>
          <w:szCs w:val="22"/>
        </w:rPr>
        <w:sectPr w:rsidR="00DE6A6E" w:rsidRPr="00877418" w:rsidSect="00E1325C">
          <w:headerReference w:type="even" r:id="rId19"/>
          <w:headerReference w:type="default" r:id="rId20"/>
          <w:footerReference w:type="default" r:id="rId21"/>
          <w:headerReference w:type="first" r:id="rId22"/>
          <w:pgSz w:w="12240" w:h="15840" w:code="1"/>
          <w:pgMar w:top="720" w:right="1080" w:bottom="720" w:left="1080" w:header="720" w:footer="432" w:gutter="0"/>
          <w:cols w:space="720"/>
          <w:docGrid w:linePitch="272"/>
        </w:sectPr>
      </w:pPr>
    </w:p>
    <w:p w:rsidR="00DE6A6E" w:rsidRPr="002C1D42" w:rsidRDefault="00DE6A6E" w:rsidP="005271ED">
      <w:pPr>
        <w:numPr>
          <w:ilvl w:val="0"/>
          <w:numId w:val="1"/>
        </w:numPr>
        <w:spacing w:after="120"/>
        <w:rPr>
          <w:sz w:val="22"/>
          <w:szCs w:val="22"/>
        </w:rPr>
      </w:pPr>
      <w:r w:rsidRPr="002C1D42">
        <w:rPr>
          <w:bCs/>
          <w:sz w:val="22"/>
          <w:szCs w:val="22"/>
          <w:u w:val="single"/>
        </w:rPr>
        <w:t>Permitting Authority</w:t>
      </w:r>
      <w:r w:rsidRPr="002C1D42">
        <w:rPr>
          <w:bCs/>
          <w:sz w:val="22"/>
          <w:szCs w:val="22"/>
        </w:rPr>
        <w:t xml:space="preserve">:  </w:t>
      </w:r>
      <w:r w:rsidR="00A47453" w:rsidRPr="002C1D42">
        <w:rPr>
          <w:bCs/>
          <w:sz w:val="22"/>
          <w:szCs w:val="22"/>
        </w:rPr>
        <w:t xml:space="preserve">The permitting authority for this project is </w:t>
      </w:r>
      <w:r w:rsidR="00A47453" w:rsidRPr="002C1D42">
        <w:rPr>
          <w:sz w:val="22"/>
          <w:szCs w:val="22"/>
        </w:rPr>
        <w:t xml:space="preserve">the </w:t>
      </w:r>
      <w:r w:rsidR="00A47453" w:rsidRPr="00D54E1C">
        <w:rPr>
          <w:sz w:val="22"/>
        </w:rPr>
        <w:t>Office of Permitting and Compliance in the Division of Air Resource Management of the Department of Environmental Protection (Department)</w:t>
      </w:r>
      <w:r w:rsidR="00A47453" w:rsidRPr="00D54E1C">
        <w:rPr>
          <w:sz w:val="22"/>
          <w:szCs w:val="22"/>
        </w:rPr>
        <w:t xml:space="preserve">.  The mailing address for the Office of Permitting and Compliance is 2600 Blair Stone Road (MS #5505), Tallahassee, </w:t>
      </w:r>
      <w:proofErr w:type="gramStart"/>
      <w:r w:rsidR="00A47453" w:rsidRPr="00D54E1C">
        <w:rPr>
          <w:sz w:val="22"/>
          <w:szCs w:val="22"/>
        </w:rPr>
        <w:t>Florida  32399</w:t>
      </w:r>
      <w:proofErr w:type="gramEnd"/>
      <w:r w:rsidR="00A47453" w:rsidRPr="00D54E1C">
        <w:rPr>
          <w:sz w:val="22"/>
          <w:szCs w:val="22"/>
        </w:rPr>
        <w:t xml:space="preserve">-2400.  All documents related to applications for permits to operate an emissions unit shall be submitted to the Department’s Southeast District Office at:  3301 Gun Club Road, MSC 7210-1, West Palm Beach, </w:t>
      </w:r>
      <w:proofErr w:type="gramStart"/>
      <w:r w:rsidR="00A47453" w:rsidRPr="00D54E1C">
        <w:rPr>
          <w:sz w:val="22"/>
          <w:szCs w:val="22"/>
        </w:rPr>
        <w:t>Florida  33406</w:t>
      </w:r>
      <w:proofErr w:type="gramEnd"/>
      <w:r w:rsidRPr="00D30236">
        <w:rPr>
          <w:sz w:val="22"/>
          <w:szCs w:val="22"/>
        </w:rPr>
        <w:t>.</w:t>
      </w:r>
    </w:p>
    <w:p w:rsidR="00DE6A6E" w:rsidRPr="00EE68F7" w:rsidRDefault="00DE6A6E" w:rsidP="005271ED">
      <w:pPr>
        <w:numPr>
          <w:ilvl w:val="0"/>
          <w:numId w:val="1"/>
        </w:numPr>
        <w:spacing w:after="120"/>
        <w:rPr>
          <w:sz w:val="22"/>
          <w:szCs w:val="22"/>
        </w:rPr>
      </w:pPr>
      <w:r w:rsidRPr="0017559C">
        <w:rPr>
          <w:bCs/>
          <w:sz w:val="22"/>
          <w:u w:val="single"/>
        </w:rPr>
        <w:t>Compliance Authority</w:t>
      </w:r>
      <w:r w:rsidRPr="0017559C">
        <w:rPr>
          <w:bCs/>
          <w:sz w:val="22"/>
        </w:rPr>
        <w:t xml:space="preserve">:  </w:t>
      </w:r>
      <w:r w:rsidR="00A47453" w:rsidRPr="0017559C">
        <w:rPr>
          <w:sz w:val="22"/>
        </w:rPr>
        <w:t xml:space="preserve">All documents related to compliance activities such as reports, tests, and notifications shall be submitted to the </w:t>
      </w:r>
      <w:r w:rsidR="00A47453" w:rsidRPr="00886F5F">
        <w:rPr>
          <w:sz w:val="22"/>
          <w:szCs w:val="22"/>
        </w:rPr>
        <w:t xml:space="preserve">Department’s Southeast District Office at:  3301 Gun Club Road, MSC 7210-1, West Palm Beach, </w:t>
      </w:r>
      <w:proofErr w:type="gramStart"/>
      <w:r w:rsidR="00A47453" w:rsidRPr="00886F5F">
        <w:rPr>
          <w:sz w:val="22"/>
          <w:szCs w:val="22"/>
        </w:rPr>
        <w:t>Florida  33406</w:t>
      </w:r>
      <w:proofErr w:type="gramEnd"/>
      <w:r w:rsidR="00A47453" w:rsidRPr="00886F5F">
        <w:rPr>
          <w:sz w:val="22"/>
        </w:rPr>
        <w:t xml:space="preserve">.  E-mail address:  </w:t>
      </w:r>
      <w:hyperlink r:id="rId23" w:history="1">
        <w:r w:rsidR="00A47453" w:rsidRPr="00886F5F">
          <w:rPr>
            <w:color w:val="0000FF"/>
            <w:sz w:val="22"/>
            <w:u w:val="single"/>
          </w:rPr>
          <w:t>SED.AIR@dep.state.fl.us</w:t>
        </w:r>
      </w:hyperlink>
      <w:r w:rsidR="00BC33B4" w:rsidRPr="0017559C">
        <w:rPr>
          <w:sz w:val="22"/>
        </w:rPr>
        <w:t>.</w:t>
      </w:r>
    </w:p>
    <w:p w:rsidR="00DE6A6E" w:rsidRPr="00BC33B4" w:rsidRDefault="00BC33B4" w:rsidP="005271ED">
      <w:pPr>
        <w:numPr>
          <w:ilvl w:val="0"/>
          <w:numId w:val="1"/>
        </w:numPr>
        <w:spacing w:after="120"/>
        <w:rPr>
          <w:sz w:val="22"/>
          <w:szCs w:val="22"/>
        </w:rPr>
      </w:pPr>
      <w:r w:rsidRPr="00BC33B4">
        <w:rPr>
          <w:bCs/>
          <w:sz w:val="22"/>
          <w:szCs w:val="22"/>
          <w:u w:val="single"/>
        </w:rPr>
        <w:t>Appendices</w:t>
      </w:r>
      <w:r w:rsidRPr="00BC33B4">
        <w:rPr>
          <w:bCs/>
          <w:sz w:val="22"/>
          <w:szCs w:val="22"/>
        </w:rPr>
        <w:t xml:space="preserve">:  </w:t>
      </w:r>
      <w:r w:rsidRPr="00BC33B4">
        <w:rPr>
          <w:sz w:val="22"/>
          <w:szCs w:val="22"/>
        </w:rPr>
        <w:t xml:space="preserve">The following Appendices are attached as a part of this permit:  Appendix A (Citation Formats and Glossary </w:t>
      </w:r>
      <w:r w:rsidRPr="00BC33B4">
        <w:rPr>
          <w:sz w:val="22"/>
        </w:rPr>
        <w:t>of</w:t>
      </w:r>
      <w:r w:rsidRPr="00BC33B4">
        <w:rPr>
          <w:sz w:val="22"/>
          <w:szCs w:val="22"/>
        </w:rPr>
        <w:t xml:space="preserve"> Common Terms); Appendix B (General Conditions); Appendix C (Common Conditions); and Appendix D</w:t>
      </w:r>
      <w:r w:rsidR="00CC3871">
        <w:rPr>
          <w:sz w:val="22"/>
          <w:szCs w:val="22"/>
        </w:rPr>
        <w:t xml:space="preserve"> (Common Testing Requirements).</w:t>
      </w:r>
    </w:p>
    <w:p w:rsidR="00DE6A6E" w:rsidRPr="00877418" w:rsidRDefault="00DE6A6E" w:rsidP="005271ED">
      <w:pPr>
        <w:numPr>
          <w:ilvl w:val="0"/>
          <w:numId w:val="1"/>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DE6A6E" w:rsidRPr="00877418" w:rsidRDefault="00DE6A6E" w:rsidP="005271ED">
      <w:pPr>
        <w:numPr>
          <w:ilvl w:val="0"/>
          <w:numId w:val="1"/>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DE6A6E" w:rsidRPr="00877418" w:rsidRDefault="00DE6A6E" w:rsidP="005271ED">
      <w:pPr>
        <w:numPr>
          <w:ilvl w:val="0"/>
          <w:numId w:val="1"/>
        </w:numPr>
        <w:spacing w:after="120"/>
        <w:rPr>
          <w:sz w:val="22"/>
          <w:szCs w:val="22"/>
        </w:rPr>
      </w:pPr>
      <w:r w:rsidRPr="00877418">
        <w:rPr>
          <w:sz w:val="22"/>
          <w:szCs w:val="22"/>
          <w:u w:val="single"/>
        </w:rPr>
        <w:t>Modifications</w:t>
      </w:r>
      <w:r w:rsidRPr="00877418">
        <w:rPr>
          <w:sz w:val="22"/>
          <w:szCs w:val="22"/>
        </w:rPr>
        <w:t xml:space="preserve">:  No </w:t>
      </w:r>
      <w:r>
        <w:rPr>
          <w:sz w:val="22"/>
          <w:szCs w:val="22"/>
        </w:rPr>
        <w:t xml:space="preserve">new </w:t>
      </w:r>
      <w:r w:rsidRPr="00877418">
        <w:rPr>
          <w:sz w:val="22"/>
          <w:szCs w:val="22"/>
        </w:rPr>
        <w:t xml:space="preserve">emissions unit shall be constructed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6F18BD" w:rsidRDefault="006F18BD" w:rsidP="005271ED">
      <w:pPr>
        <w:numPr>
          <w:ilvl w:val="0"/>
          <w:numId w:val="1"/>
        </w:numPr>
        <w:autoSpaceDE w:val="0"/>
        <w:autoSpaceDN w:val="0"/>
        <w:adjustRightInd w:val="0"/>
        <w:spacing w:after="120"/>
        <w:rPr>
          <w:sz w:val="22"/>
          <w:szCs w:val="22"/>
        </w:rPr>
      </w:pPr>
      <w:r w:rsidRPr="00BC33B4">
        <w:rPr>
          <w:bCs/>
          <w:sz w:val="22"/>
          <w:szCs w:val="22"/>
          <w:u w:val="single"/>
        </w:rPr>
        <w:t>Renewal</w:t>
      </w:r>
      <w:r w:rsidR="00FC682D">
        <w:rPr>
          <w:bCs/>
          <w:sz w:val="22"/>
          <w:szCs w:val="22"/>
        </w:rPr>
        <w:t>:</w:t>
      </w:r>
      <w:r w:rsidRPr="00BC33B4">
        <w:rPr>
          <w:bCs/>
          <w:sz w:val="22"/>
          <w:szCs w:val="22"/>
        </w:rPr>
        <w:t xml:space="preserve">  Prior to 60 days before the expiration date of this permit, the permittee shall apply for a renewal of the permit.  </w:t>
      </w:r>
      <w:r w:rsidRPr="00BC33B4">
        <w:rPr>
          <w:sz w:val="22"/>
          <w:szCs w:val="22"/>
        </w:rPr>
        <w:t xml:space="preserve">A renewal application shall be timely and sufficient.   If the application is submitted prior to </w:t>
      </w:r>
      <w:r w:rsidRPr="00BC33B4">
        <w:rPr>
          <w:bCs/>
          <w:sz w:val="22"/>
          <w:szCs w:val="22"/>
        </w:rPr>
        <w:t xml:space="preserve">60 </w:t>
      </w:r>
      <w:r w:rsidRPr="00BC33B4">
        <w:rPr>
          <w:sz w:val="22"/>
          <w:szCs w:val="22"/>
        </w:rPr>
        <w:t xml:space="preserve">days before expiration of the permit, it will be considered timely and sufficient.  If the renewal application is submitted </w:t>
      </w:r>
      <w:proofErr w:type="gramStart"/>
      <w:r w:rsidRPr="00BC33B4">
        <w:rPr>
          <w:sz w:val="22"/>
          <w:szCs w:val="22"/>
        </w:rPr>
        <w:t>at a later date</w:t>
      </w:r>
      <w:proofErr w:type="gramEnd"/>
      <w:r w:rsidRPr="00BC33B4">
        <w:rPr>
          <w:sz w:val="22"/>
          <w:szCs w:val="22"/>
        </w:rPr>
        <w:t>,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Department</w:t>
      </w:r>
      <w:r w:rsidRPr="00BC33B4">
        <w:rPr>
          <w:bCs/>
          <w:sz w:val="22"/>
          <w:szCs w:val="22"/>
        </w:rPr>
        <w:t>.</w:t>
      </w:r>
      <w:r w:rsidRPr="00BC33B4">
        <w:rPr>
          <w:sz w:val="22"/>
          <w:szCs w:val="22"/>
        </w:rPr>
        <w:t xml:space="preserve">  [Rule 62-4.090, F.A.C.]</w:t>
      </w:r>
    </w:p>
    <w:p w:rsidR="002B069F" w:rsidRPr="002B069F" w:rsidRDefault="00DF772E" w:rsidP="005271ED">
      <w:pPr>
        <w:numPr>
          <w:ilvl w:val="0"/>
          <w:numId w:val="1"/>
        </w:numPr>
        <w:autoSpaceDE w:val="0"/>
        <w:autoSpaceDN w:val="0"/>
        <w:adjustRightInd w:val="0"/>
        <w:spacing w:after="120"/>
        <w:rPr>
          <w:sz w:val="22"/>
          <w:szCs w:val="22"/>
        </w:rPr>
      </w:pPr>
      <w:bookmarkStart w:id="1" w:name="_Ref513206144"/>
      <w:r w:rsidRPr="00DF772E">
        <w:rPr>
          <w:sz w:val="22"/>
          <w:szCs w:val="22"/>
          <w:u w:val="single"/>
        </w:rPr>
        <w:t>Annual Operating Report</w:t>
      </w:r>
      <w:r w:rsidR="00627140">
        <w:rPr>
          <w:sz w:val="22"/>
          <w:szCs w:val="22"/>
          <w:u w:val="single"/>
        </w:rPr>
        <w:t xml:space="preserve"> (AOR)</w:t>
      </w:r>
      <w:r w:rsidRPr="00DF772E">
        <w:rPr>
          <w:sz w:val="22"/>
          <w:szCs w:val="22"/>
        </w:rPr>
        <w:t xml:space="preserve">:  </w:t>
      </w:r>
      <w:r w:rsidR="00C959DD" w:rsidRPr="00627140">
        <w:rPr>
          <w:bCs/>
          <w:sz w:val="22"/>
          <w:szCs w:val="22"/>
        </w:rPr>
        <w:t xml:space="preserve">The information required by the Annual Operating Report for Air Pollutant Emitting Facility (DEP Form No. 62-210.900(5)) shall be submitted by April 1 of each year, for the previous calendar year, to the </w:t>
      </w:r>
      <w:r w:rsidR="00C959DD">
        <w:rPr>
          <w:sz w:val="22"/>
        </w:rPr>
        <w:t>Southeast District Office</w:t>
      </w:r>
      <w:r w:rsidR="00C959DD" w:rsidRPr="00D54E1C">
        <w:rPr>
          <w:sz w:val="22"/>
        </w:rPr>
        <w:t xml:space="preserve"> of the Department of </w:t>
      </w:r>
      <w:r w:rsidR="00C959DD" w:rsidRPr="00106BD7">
        <w:rPr>
          <w:sz w:val="22"/>
        </w:rPr>
        <w:t>Environmental Protection</w:t>
      </w:r>
      <w:r w:rsidR="00C959DD" w:rsidRPr="00106BD7">
        <w:rPr>
          <w:bCs/>
          <w:sz w:val="22"/>
          <w:szCs w:val="22"/>
        </w:rPr>
        <w:t>.  A</w:t>
      </w:r>
      <w:r w:rsidR="00C959DD" w:rsidRPr="00106BD7">
        <w:rPr>
          <w:sz w:val="22"/>
          <w:szCs w:val="22"/>
        </w:rPr>
        <w:t>ll synthetic non-Title V sources shall submit</w:t>
      </w:r>
      <w:r w:rsidR="00C959DD" w:rsidRPr="00DF772E">
        <w:rPr>
          <w:sz w:val="22"/>
          <w:szCs w:val="22"/>
        </w:rPr>
        <w:t xml:space="preserve"> a completed DEP Form 62-210.900(5</w:t>
      </w:r>
      <w:r w:rsidR="00C959DD">
        <w:rPr>
          <w:sz w:val="22"/>
          <w:szCs w:val="22"/>
        </w:rPr>
        <w:t xml:space="preserve">) unless </w:t>
      </w:r>
      <w:r w:rsidR="00C959DD" w:rsidRPr="005B1C05">
        <w:rPr>
          <w:sz w:val="22"/>
          <w:szCs w:val="22"/>
        </w:rPr>
        <w:t xml:space="preserve">the annual operating report is submitted using the DEP’s electronic annual operating report software. </w:t>
      </w:r>
      <w:r w:rsidR="00C959DD">
        <w:rPr>
          <w:sz w:val="22"/>
          <w:szCs w:val="22"/>
        </w:rPr>
        <w:t xml:space="preserve"> </w:t>
      </w:r>
      <w:r w:rsidR="00C959DD" w:rsidRPr="002B069F">
        <w:rPr>
          <w:bCs/>
          <w:sz w:val="22"/>
          <w:szCs w:val="22"/>
        </w:rPr>
        <w:t>Emissions shall be computed in accordance with the provisions of subsection 62-210.370(2)</w:t>
      </w:r>
      <w:r w:rsidR="002B069F" w:rsidRPr="002B069F">
        <w:rPr>
          <w:bCs/>
          <w:sz w:val="22"/>
          <w:szCs w:val="22"/>
        </w:rPr>
        <w:t xml:space="preserve">, F.A.C.  </w:t>
      </w:r>
      <w:r w:rsidR="002B069F" w:rsidRPr="00DF772E">
        <w:rPr>
          <w:sz w:val="22"/>
          <w:szCs w:val="22"/>
        </w:rPr>
        <w:t>[Rule 62-210.370(3), F.A.C.]</w:t>
      </w:r>
      <w:bookmarkEnd w:id="1"/>
    </w:p>
    <w:p w:rsidR="00DF772E" w:rsidRPr="00BC33B4" w:rsidRDefault="002B069F" w:rsidP="002B069F">
      <w:pPr>
        <w:autoSpaceDE w:val="0"/>
        <w:autoSpaceDN w:val="0"/>
        <w:adjustRightInd w:val="0"/>
        <w:ind w:left="360"/>
        <w:rPr>
          <w:sz w:val="22"/>
          <w:szCs w:val="22"/>
        </w:rPr>
      </w:pPr>
      <w:r w:rsidRPr="002B069F">
        <w:rPr>
          <w:bCs/>
          <w:i/>
          <w:iCs/>
          <w:sz w:val="22"/>
          <w:szCs w:val="22"/>
        </w:rPr>
        <w:t xml:space="preserve">{Permitting </w:t>
      </w:r>
      <w:r>
        <w:rPr>
          <w:bCs/>
          <w:i/>
          <w:iCs/>
          <w:sz w:val="22"/>
          <w:szCs w:val="22"/>
        </w:rPr>
        <w:t xml:space="preserve">Note:  </w:t>
      </w:r>
      <w:r w:rsidRPr="002B069F">
        <w:rPr>
          <w:bCs/>
          <w:i/>
          <w:iCs/>
          <w:sz w:val="22"/>
          <w:szCs w:val="22"/>
        </w:rPr>
        <w:t xml:space="preserve">Resources to help you complete your AOR are available on the electronic AOR (EAOR) website at:  </w:t>
      </w:r>
      <w:hyperlink r:id="rId24" w:history="1">
        <w:r w:rsidRPr="002B069F">
          <w:rPr>
            <w:bCs/>
            <w:i/>
            <w:iCs/>
            <w:color w:val="0000FF"/>
            <w:sz w:val="22"/>
            <w:szCs w:val="22"/>
            <w:u w:val="single"/>
          </w:rPr>
          <w:t>http://www.dep.state.fl.us/air/emission/eaor</w:t>
        </w:r>
      </w:hyperlink>
      <w:r w:rsidRPr="002B069F">
        <w:rPr>
          <w:bCs/>
          <w:i/>
          <w:iCs/>
          <w:sz w:val="22"/>
          <w:szCs w:val="22"/>
        </w:rPr>
        <w:t xml:space="preserve">.  If you have questions or need assistance after reviewing the information posted on the EAOR website, please contact the Department by phone at (850) 717-9000 or email at </w:t>
      </w:r>
      <w:hyperlink r:id="rId25" w:history="1">
        <w:r w:rsidRPr="002B069F">
          <w:rPr>
            <w:bCs/>
            <w:i/>
            <w:iCs/>
            <w:color w:val="0000FF"/>
            <w:sz w:val="22"/>
            <w:szCs w:val="22"/>
            <w:u w:val="single"/>
          </w:rPr>
          <w:t>eaor@dep.state.fl.us</w:t>
        </w:r>
      </w:hyperlink>
      <w:r w:rsidRPr="002B069F">
        <w:rPr>
          <w:bCs/>
          <w:i/>
          <w:iCs/>
          <w:sz w:val="22"/>
          <w:szCs w:val="22"/>
        </w:rPr>
        <w:t>.}</w:t>
      </w:r>
    </w:p>
    <w:p w:rsidR="00DE6A6E" w:rsidRPr="00877418" w:rsidRDefault="00DE6A6E" w:rsidP="00DE6A6E">
      <w:pPr>
        <w:spacing w:after="120"/>
        <w:rPr>
          <w:sz w:val="22"/>
          <w:szCs w:val="22"/>
        </w:rPr>
      </w:pPr>
    </w:p>
    <w:p w:rsidR="00DE6A6E" w:rsidRPr="00877418" w:rsidRDefault="00DE6A6E" w:rsidP="00DE6A6E">
      <w:pPr>
        <w:ind w:firstLine="90"/>
        <w:rPr>
          <w:caps/>
          <w:sz w:val="22"/>
          <w:szCs w:val="22"/>
          <w:u w:val="single"/>
        </w:rPr>
        <w:sectPr w:rsidR="00DE6A6E" w:rsidRPr="00877418" w:rsidSect="00E1325C">
          <w:headerReference w:type="even" r:id="rId26"/>
          <w:headerReference w:type="default" r:id="rId27"/>
          <w:headerReference w:type="first" r:id="rId28"/>
          <w:pgSz w:w="12240" w:h="15840" w:code="1"/>
          <w:pgMar w:top="720" w:right="1080" w:bottom="720" w:left="1080" w:header="720" w:footer="432" w:gutter="0"/>
          <w:cols w:space="720"/>
          <w:docGrid w:linePitch="272"/>
        </w:sectPr>
      </w:pPr>
    </w:p>
    <w:p w:rsidR="00DE6A6E" w:rsidRPr="00A61FF4" w:rsidRDefault="00DE6A6E" w:rsidP="00264EFC">
      <w:pPr>
        <w:pStyle w:val="BodyText3"/>
        <w:numPr>
          <w:ilvl w:val="12"/>
          <w:numId w:val="0"/>
        </w:numPr>
        <w:spacing w:after="60"/>
        <w:rPr>
          <w:sz w:val="22"/>
          <w:szCs w:val="22"/>
        </w:rPr>
      </w:pPr>
      <w:r w:rsidRPr="00A61FF4">
        <w:rPr>
          <w:sz w:val="22"/>
          <w:szCs w:val="22"/>
        </w:rPr>
        <w:t xml:space="preserve">This section of the permit addresses the </w:t>
      </w:r>
      <w:r w:rsidRPr="000E66EB">
        <w:rPr>
          <w:sz w:val="22"/>
          <w:szCs w:val="22"/>
        </w:rPr>
        <w:t xml:space="preserve">following emissions </w:t>
      </w:r>
      <w:r w:rsidR="000E66EB" w:rsidRPr="000E66EB">
        <w:rPr>
          <w:sz w:val="22"/>
          <w:szCs w:val="22"/>
        </w:rPr>
        <w:t>unit</w:t>
      </w:r>
      <w:r w:rsidRPr="000E66EB">
        <w:rPr>
          <w:sz w:val="22"/>
          <w:szCs w:val="22"/>
        </w:rPr>
        <w:t>.</w:t>
      </w:r>
    </w:p>
    <w:tbl>
      <w:tblPr>
        <w:tblW w:w="10080" w:type="dxa"/>
        <w:tblInd w:w="-1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170"/>
        <w:gridCol w:w="8910"/>
      </w:tblGrid>
      <w:tr w:rsidR="00DE6A6E" w:rsidRPr="00EC6EDB" w:rsidTr="00336CCC">
        <w:tc>
          <w:tcPr>
            <w:tcW w:w="1170" w:type="dxa"/>
            <w:tcBorders>
              <w:top w:val="single" w:sz="12" w:space="0" w:color="auto"/>
              <w:left w:val="single" w:sz="12" w:space="0" w:color="auto"/>
              <w:bottom w:val="single" w:sz="12" w:space="0" w:color="auto"/>
              <w:right w:val="single" w:sz="4" w:space="0" w:color="auto"/>
            </w:tcBorders>
            <w:shd w:val="clear" w:color="auto" w:fill="BDD6EE" w:themeFill="accent1" w:themeFillTint="66"/>
          </w:tcPr>
          <w:p w:rsidR="00DE6A6E" w:rsidRPr="00EC6EDB" w:rsidRDefault="00E63E6C" w:rsidP="00DE6A6E">
            <w:pPr>
              <w:jc w:val="center"/>
              <w:rPr>
                <w:b/>
                <w:sz w:val="22"/>
                <w:szCs w:val="22"/>
              </w:rPr>
            </w:pPr>
            <w:r w:rsidRPr="00EC6EDB">
              <w:rPr>
                <w:b/>
                <w:sz w:val="22"/>
                <w:szCs w:val="22"/>
              </w:rPr>
              <w:t>EU</w:t>
            </w:r>
            <w:r w:rsidR="00DE6A6E" w:rsidRPr="00EC6EDB">
              <w:rPr>
                <w:b/>
                <w:sz w:val="22"/>
                <w:szCs w:val="22"/>
              </w:rPr>
              <w:t xml:space="preserve"> No.</w:t>
            </w:r>
          </w:p>
        </w:tc>
        <w:tc>
          <w:tcPr>
            <w:tcW w:w="8910" w:type="dxa"/>
            <w:tcBorders>
              <w:top w:val="single" w:sz="12" w:space="0" w:color="auto"/>
              <w:left w:val="single" w:sz="4" w:space="0" w:color="auto"/>
              <w:bottom w:val="single" w:sz="12" w:space="0" w:color="auto"/>
              <w:right w:val="single" w:sz="12" w:space="0" w:color="auto"/>
            </w:tcBorders>
            <w:shd w:val="clear" w:color="auto" w:fill="BDD6EE" w:themeFill="accent1" w:themeFillTint="66"/>
          </w:tcPr>
          <w:p w:rsidR="00DE6A6E" w:rsidRPr="00EC6EDB" w:rsidRDefault="00DE6A6E" w:rsidP="00DE6A6E">
            <w:pPr>
              <w:rPr>
                <w:sz w:val="22"/>
                <w:szCs w:val="22"/>
              </w:rPr>
            </w:pPr>
            <w:r w:rsidRPr="00EC6EDB">
              <w:rPr>
                <w:b/>
                <w:sz w:val="22"/>
                <w:szCs w:val="22"/>
              </w:rPr>
              <w:t>Emission</w:t>
            </w:r>
            <w:r w:rsidR="00170A52">
              <w:rPr>
                <w:b/>
                <w:sz w:val="22"/>
                <w:szCs w:val="22"/>
              </w:rPr>
              <w:t>s</w:t>
            </w:r>
            <w:r w:rsidRPr="00EC6EDB">
              <w:rPr>
                <w:b/>
                <w:sz w:val="22"/>
                <w:szCs w:val="22"/>
              </w:rPr>
              <w:t xml:space="preserve"> Unit Description</w:t>
            </w:r>
          </w:p>
        </w:tc>
      </w:tr>
      <w:tr w:rsidR="00DE6A6E" w:rsidRPr="00EC6EDB" w:rsidTr="004D5DDA">
        <w:tc>
          <w:tcPr>
            <w:tcW w:w="1170" w:type="dxa"/>
            <w:tcBorders>
              <w:top w:val="single" w:sz="12" w:space="0" w:color="auto"/>
              <w:left w:val="single" w:sz="12" w:space="0" w:color="auto"/>
              <w:bottom w:val="single" w:sz="12" w:space="0" w:color="auto"/>
              <w:right w:val="single" w:sz="4" w:space="0" w:color="auto"/>
            </w:tcBorders>
          </w:tcPr>
          <w:p w:rsidR="00DE6A6E" w:rsidRPr="00EC6EDB" w:rsidRDefault="00EC6EDB" w:rsidP="00DE6A6E">
            <w:pPr>
              <w:jc w:val="center"/>
              <w:rPr>
                <w:sz w:val="22"/>
                <w:szCs w:val="22"/>
              </w:rPr>
            </w:pPr>
            <w:r>
              <w:rPr>
                <w:sz w:val="22"/>
                <w:szCs w:val="22"/>
              </w:rPr>
              <w:t>001</w:t>
            </w:r>
          </w:p>
        </w:tc>
        <w:tc>
          <w:tcPr>
            <w:tcW w:w="8910" w:type="dxa"/>
            <w:tcBorders>
              <w:top w:val="single" w:sz="12" w:space="0" w:color="auto"/>
              <w:left w:val="single" w:sz="4" w:space="0" w:color="auto"/>
              <w:bottom w:val="single" w:sz="12" w:space="0" w:color="auto"/>
              <w:right w:val="single" w:sz="12" w:space="0" w:color="auto"/>
            </w:tcBorders>
          </w:tcPr>
          <w:p w:rsidR="00DE6A6E" w:rsidRPr="00EC6EDB" w:rsidRDefault="00EC6EDB" w:rsidP="00DE6A6E">
            <w:pPr>
              <w:rPr>
                <w:sz w:val="22"/>
                <w:szCs w:val="22"/>
                <w:highlight w:val="yellow"/>
              </w:rPr>
            </w:pPr>
            <w:r w:rsidRPr="00EC6EDB">
              <w:rPr>
                <w:sz w:val="22"/>
                <w:szCs w:val="22"/>
              </w:rPr>
              <w:t xml:space="preserve">Liquid </w:t>
            </w:r>
            <w:r>
              <w:rPr>
                <w:sz w:val="22"/>
                <w:szCs w:val="22"/>
              </w:rPr>
              <w:t>Process Units and Solids Handling Process</w:t>
            </w:r>
          </w:p>
        </w:tc>
      </w:tr>
    </w:tbl>
    <w:p w:rsidR="00547819" w:rsidRDefault="00547819" w:rsidP="00547819">
      <w:pPr>
        <w:spacing w:before="120" w:after="120"/>
        <w:rPr>
          <w:sz w:val="22"/>
          <w:szCs w:val="22"/>
        </w:rPr>
      </w:pPr>
      <w:r>
        <w:rPr>
          <w:sz w:val="22"/>
          <w:szCs w:val="22"/>
        </w:rPr>
        <w:t>This emissions unit is unregulated.</w:t>
      </w:r>
    </w:p>
    <w:p w:rsidR="002F4FD6" w:rsidRDefault="007C791B" w:rsidP="007A5687">
      <w:pPr>
        <w:spacing w:before="120" w:after="120"/>
        <w:rPr>
          <w:sz w:val="22"/>
          <w:szCs w:val="22"/>
        </w:rPr>
      </w:pPr>
      <w:r>
        <w:rPr>
          <w:sz w:val="22"/>
          <w:szCs w:val="22"/>
        </w:rPr>
        <w:t>The liquid process includes headwork, aeration tanks, secondary clarifiers, and chlorine contact basins.  The solid process includes grit handling, odor control scrubbers, sludge concentration tanks, and primary and secondary anaerobic digesters.</w:t>
      </w:r>
    </w:p>
    <w:p w:rsidR="00557184" w:rsidRPr="002F4FD6" w:rsidRDefault="00557184" w:rsidP="007A5687">
      <w:pPr>
        <w:spacing w:before="120" w:after="120"/>
        <w:rPr>
          <w:sz w:val="22"/>
          <w:szCs w:val="22"/>
        </w:rPr>
      </w:pPr>
      <w:r>
        <w:rPr>
          <w:sz w:val="22"/>
          <w:szCs w:val="22"/>
        </w:rPr>
        <w:t>This emissions unit has a maximum production rate of 35 million gallons per day (3-month average daily flow).  The odor control device is a Heil 730 countercurrent scrubber vertically packed tower.  The scrubbers are made of fiberglass reinforced polyester.</w:t>
      </w:r>
    </w:p>
    <w:p w:rsidR="00DE6A6E" w:rsidRPr="00845DA5" w:rsidRDefault="00DE6A6E" w:rsidP="002F4FD6">
      <w:pPr>
        <w:spacing w:after="120"/>
        <w:rPr>
          <w:sz w:val="22"/>
          <w:szCs w:val="22"/>
        </w:rPr>
      </w:pPr>
    </w:p>
    <w:p w:rsidR="00DE6A6E" w:rsidRPr="00845DA5" w:rsidRDefault="00DE6A6E" w:rsidP="00DE6A6E">
      <w:pPr>
        <w:pStyle w:val="BodyText3"/>
        <w:numPr>
          <w:ilvl w:val="12"/>
          <w:numId w:val="0"/>
        </w:numPr>
        <w:spacing w:after="0"/>
        <w:rPr>
          <w:szCs w:val="22"/>
        </w:rPr>
        <w:sectPr w:rsidR="00DE6A6E" w:rsidRPr="00845DA5" w:rsidSect="00E1325C">
          <w:headerReference w:type="even" r:id="rId29"/>
          <w:headerReference w:type="default" r:id="rId30"/>
          <w:headerReference w:type="first" r:id="rId31"/>
          <w:pgSz w:w="12240" w:h="15840" w:code="1"/>
          <w:pgMar w:top="720" w:right="1080" w:bottom="720" w:left="1080" w:header="720" w:footer="432" w:gutter="0"/>
          <w:cols w:space="720"/>
          <w:docGrid w:linePitch="272"/>
        </w:sectPr>
      </w:pPr>
    </w:p>
    <w:p w:rsidR="00DE6A6E" w:rsidRPr="00A61FF4" w:rsidRDefault="00DE6A6E" w:rsidP="00CC2F26">
      <w:pPr>
        <w:pStyle w:val="BodyText3"/>
        <w:numPr>
          <w:ilvl w:val="12"/>
          <w:numId w:val="0"/>
        </w:numPr>
        <w:spacing w:after="60"/>
        <w:rPr>
          <w:sz w:val="22"/>
          <w:szCs w:val="22"/>
        </w:rPr>
      </w:pPr>
      <w:r w:rsidRPr="00A61FF4">
        <w:rPr>
          <w:sz w:val="22"/>
          <w:szCs w:val="22"/>
        </w:rPr>
        <w:t xml:space="preserve">This section of the permit addresses the following </w:t>
      </w:r>
      <w:r w:rsidRPr="00A57883">
        <w:rPr>
          <w:sz w:val="22"/>
          <w:szCs w:val="22"/>
        </w:rPr>
        <w:t xml:space="preserve">emissions </w:t>
      </w:r>
      <w:r w:rsidR="00A57883" w:rsidRPr="00A57883">
        <w:rPr>
          <w:sz w:val="22"/>
          <w:szCs w:val="22"/>
        </w:rPr>
        <w:t>unit.</w:t>
      </w:r>
    </w:p>
    <w:tbl>
      <w:tblPr>
        <w:tblW w:w="10080" w:type="dxa"/>
        <w:tblInd w:w="-1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90"/>
        <w:gridCol w:w="9090"/>
      </w:tblGrid>
      <w:tr w:rsidR="00DE6A6E" w:rsidRPr="00A57883" w:rsidTr="00336CCC">
        <w:tc>
          <w:tcPr>
            <w:tcW w:w="990" w:type="dxa"/>
            <w:tcBorders>
              <w:top w:val="single" w:sz="12" w:space="0" w:color="auto"/>
              <w:left w:val="single" w:sz="12" w:space="0" w:color="auto"/>
              <w:bottom w:val="single" w:sz="12" w:space="0" w:color="auto"/>
              <w:right w:val="single" w:sz="4" w:space="0" w:color="auto"/>
            </w:tcBorders>
            <w:shd w:val="clear" w:color="auto" w:fill="BDD6EE" w:themeFill="accent1" w:themeFillTint="66"/>
          </w:tcPr>
          <w:p w:rsidR="00DE6A6E" w:rsidRPr="00A57883" w:rsidRDefault="00E63E6C" w:rsidP="00DE6A6E">
            <w:pPr>
              <w:jc w:val="center"/>
              <w:rPr>
                <w:b/>
                <w:sz w:val="22"/>
                <w:szCs w:val="22"/>
              </w:rPr>
            </w:pPr>
            <w:r w:rsidRPr="00A57883">
              <w:rPr>
                <w:b/>
                <w:sz w:val="22"/>
                <w:szCs w:val="22"/>
              </w:rPr>
              <w:t>EU</w:t>
            </w:r>
            <w:r w:rsidR="00DE6A6E" w:rsidRPr="00A57883">
              <w:rPr>
                <w:b/>
                <w:sz w:val="22"/>
                <w:szCs w:val="22"/>
              </w:rPr>
              <w:t xml:space="preserve"> No.</w:t>
            </w:r>
          </w:p>
        </w:tc>
        <w:tc>
          <w:tcPr>
            <w:tcW w:w="9090" w:type="dxa"/>
            <w:tcBorders>
              <w:top w:val="single" w:sz="12" w:space="0" w:color="auto"/>
              <w:left w:val="single" w:sz="4" w:space="0" w:color="auto"/>
              <w:bottom w:val="single" w:sz="12" w:space="0" w:color="auto"/>
              <w:right w:val="single" w:sz="12" w:space="0" w:color="auto"/>
            </w:tcBorders>
            <w:shd w:val="clear" w:color="auto" w:fill="BDD6EE" w:themeFill="accent1" w:themeFillTint="66"/>
          </w:tcPr>
          <w:p w:rsidR="00DE6A6E" w:rsidRPr="00A57883" w:rsidRDefault="00DE6A6E" w:rsidP="00DE6A6E">
            <w:pPr>
              <w:rPr>
                <w:sz w:val="22"/>
                <w:szCs w:val="22"/>
              </w:rPr>
            </w:pPr>
            <w:r w:rsidRPr="00A57883">
              <w:rPr>
                <w:b/>
                <w:sz w:val="22"/>
                <w:szCs w:val="22"/>
              </w:rPr>
              <w:t>Emission</w:t>
            </w:r>
            <w:r w:rsidR="001A4F3E">
              <w:rPr>
                <w:b/>
                <w:sz w:val="22"/>
                <w:szCs w:val="22"/>
              </w:rPr>
              <w:t>s</w:t>
            </w:r>
            <w:r w:rsidRPr="00A57883">
              <w:rPr>
                <w:b/>
                <w:sz w:val="22"/>
                <w:szCs w:val="22"/>
              </w:rPr>
              <w:t xml:space="preserve"> Unit Description</w:t>
            </w:r>
          </w:p>
        </w:tc>
      </w:tr>
      <w:tr w:rsidR="00DE6A6E" w:rsidRPr="00A57883" w:rsidTr="00492DC7">
        <w:tc>
          <w:tcPr>
            <w:tcW w:w="990" w:type="dxa"/>
            <w:tcBorders>
              <w:top w:val="single" w:sz="12" w:space="0" w:color="auto"/>
              <w:left w:val="single" w:sz="12" w:space="0" w:color="auto"/>
              <w:bottom w:val="single" w:sz="12" w:space="0" w:color="auto"/>
              <w:right w:val="single" w:sz="4" w:space="0" w:color="auto"/>
            </w:tcBorders>
          </w:tcPr>
          <w:p w:rsidR="00DE6A6E" w:rsidRPr="00A57883" w:rsidRDefault="00A57883" w:rsidP="00DE6A6E">
            <w:pPr>
              <w:jc w:val="center"/>
              <w:rPr>
                <w:sz w:val="22"/>
                <w:szCs w:val="22"/>
              </w:rPr>
            </w:pPr>
            <w:r>
              <w:rPr>
                <w:sz w:val="22"/>
                <w:szCs w:val="22"/>
              </w:rPr>
              <w:t>002</w:t>
            </w:r>
          </w:p>
        </w:tc>
        <w:tc>
          <w:tcPr>
            <w:tcW w:w="9090" w:type="dxa"/>
            <w:tcBorders>
              <w:top w:val="single" w:sz="12" w:space="0" w:color="auto"/>
              <w:left w:val="single" w:sz="4" w:space="0" w:color="auto"/>
              <w:bottom w:val="single" w:sz="12" w:space="0" w:color="auto"/>
              <w:right w:val="single" w:sz="12" w:space="0" w:color="auto"/>
            </w:tcBorders>
          </w:tcPr>
          <w:p w:rsidR="00DE6A6E" w:rsidRPr="00A57883" w:rsidRDefault="00A57883" w:rsidP="00CC4D07">
            <w:pPr>
              <w:rPr>
                <w:sz w:val="22"/>
                <w:szCs w:val="22"/>
              </w:rPr>
            </w:pPr>
            <w:r w:rsidRPr="00A64841">
              <w:rPr>
                <w:sz w:val="22"/>
                <w:szCs w:val="22"/>
              </w:rPr>
              <w:t xml:space="preserve">Four </w:t>
            </w:r>
            <w:r w:rsidR="00A64841">
              <w:rPr>
                <w:sz w:val="22"/>
                <w:szCs w:val="22"/>
              </w:rPr>
              <w:t>Non-E</w:t>
            </w:r>
            <w:r w:rsidR="00311637" w:rsidRPr="00A64841">
              <w:rPr>
                <w:sz w:val="22"/>
                <w:szCs w:val="22"/>
              </w:rPr>
              <w:t>mergency</w:t>
            </w:r>
            <w:r w:rsidRPr="00A64841">
              <w:rPr>
                <w:sz w:val="22"/>
                <w:szCs w:val="22"/>
              </w:rPr>
              <w:t xml:space="preserve"> Generators</w:t>
            </w:r>
          </w:p>
        </w:tc>
      </w:tr>
    </w:tbl>
    <w:p w:rsidR="00414B08" w:rsidRDefault="00B00273" w:rsidP="00CC4D07">
      <w:pPr>
        <w:spacing w:before="120" w:after="120"/>
        <w:rPr>
          <w:sz w:val="22"/>
          <w:szCs w:val="22"/>
        </w:rPr>
      </w:pPr>
      <w:r>
        <w:rPr>
          <w:sz w:val="22"/>
          <w:szCs w:val="22"/>
        </w:rPr>
        <w:t>Emissions Unit 002 consists of four diesel engine</w:t>
      </w:r>
      <w:r w:rsidRPr="00A64841">
        <w:rPr>
          <w:sz w:val="22"/>
          <w:szCs w:val="22"/>
        </w:rPr>
        <w:t xml:space="preserve">-driven </w:t>
      </w:r>
      <w:r w:rsidR="00311637" w:rsidRPr="00A64841">
        <w:rPr>
          <w:sz w:val="22"/>
          <w:szCs w:val="22"/>
        </w:rPr>
        <w:t>non-emergency</w:t>
      </w:r>
      <w:r w:rsidRPr="00A64841">
        <w:rPr>
          <w:sz w:val="22"/>
          <w:szCs w:val="22"/>
        </w:rPr>
        <w:t xml:space="preserve"> generators used to provide backup power for the facility in the event of power loss from the local utility</w:t>
      </w:r>
      <w:r w:rsidR="00574C34" w:rsidRPr="00A64841">
        <w:rPr>
          <w:sz w:val="22"/>
          <w:szCs w:val="22"/>
        </w:rPr>
        <w:t>, Florida Power &amp; Light (FPL)</w:t>
      </w:r>
      <w:r w:rsidRPr="00A64841">
        <w:rPr>
          <w:sz w:val="22"/>
          <w:szCs w:val="22"/>
        </w:rPr>
        <w:t xml:space="preserve">.  These engines </w:t>
      </w:r>
      <w:r w:rsidR="00F0154F" w:rsidRPr="00A64841">
        <w:rPr>
          <w:sz w:val="22"/>
          <w:szCs w:val="22"/>
        </w:rPr>
        <w:t xml:space="preserve">are compression ignition, and they </w:t>
      </w:r>
      <w:r w:rsidRPr="00A64841">
        <w:rPr>
          <w:sz w:val="22"/>
          <w:szCs w:val="22"/>
        </w:rPr>
        <w:t>fire low</w:t>
      </w:r>
      <w:r>
        <w:rPr>
          <w:sz w:val="22"/>
          <w:szCs w:val="22"/>
        </w:rPr>
        <w:t xml:space="preserve"> sulfur diesel fuel</w:t>
      </w:r>
      <w:r w:rsidR="002F31C9">
        <w:rPr>
          <w:sz w:val="22"/>
          <w:szCs w:val="22"/>
        </w:rPr>
        <w:t xml:space="preserve"> with</w:t>
      </w:r>
      <w:r>
        <w:rPr>
          <w:sz w:val="22"/>
          <w:szCs w:val="22"/>
        </w:rPr>
        <w:t xml:space="preserve"> less than 0.05% sulfur content by weight.</w:t>
      </w:r>
      <w:r w:rsidR="00D91A7E">
        <w:rPr>
          <w:sz w:val="22"/>
          <w:szCs w:val="22"/>
        </w:rPr>
        <w:t xml:space="preserve">  These four engines are equipped with oxidation catalysts to reduce emissions of carbon monoxide (CO).</w:t>
      </w:r>
      <w:r w:rsidR="0017480E">
        <w:rPr>
          <w:sz w:val="22"/>
          <w:szCs w:val="22"/>
        </w:rPr>
        <w:t xml:space="preserve">  The oxidation catalysts are equipped with continuous parameter monitoring systems (CPMS) to continuously monitor </w:t>
      </w:r>
      <w:r w:rsidR="00DD3839">
        <w:rPr>
          <w:sz w:val="22"/>
          <w:szCs w:val="22"/>
        </w:rPr>
        <w:t xml:space="preserve">the pressure drop across the catalyst bed and the catalyst </w:t>
      </w:r>
      <w:r w:rsidR="00F90D37">
        <w:rPr>
          <w:sz w:val="22"/>
          <w:szCs w:val="22"/>
        </w:rPr>
        <w:t xml:space="preserve">bed </w:t>
      </w:r>
      <w:r w:rsidR="00DD3839">
        <w:rPr>
          <w:sz w:val="22"/>
          <w:szCs w:val="22"/>
        </w:rPr>
        <w:t>inlet temperature.</w:t>
      </w:r>
    </w:p>
    <w:p w:rsidR="00574C34" w:rsidRPr="001D4E7A" w:rsidRDefault="00574C34" w:rsidP="00CC4D07">
      <w:pPr>
        <w:spacing w:before="120" w:after="120"/>
        <w:rPr>
          <w:sz w:val="22"/>
          <w:szCs w:val="22"/>
        </w:rPr>
      </w:pPr>
      <w:r w:rsidRPr="00B97C07">
        <w:rPr>
          <w:sz w:val="22"/>
          <w:szCs w:val="22"/>
        </w:rPr>
        <w:t xml:space="preserve">These </w:t>
      </w:r>
      <w:r w:rsidR="001D4E7A" w:rsidRPr="00B97C07">
        <w:rPr>
          <w:sz w:val="22"/>
          <w:szCs w:val="22"/>
        </w:rPr>
        <w:t>units</w:t>
      </w:r>
      <w:r w:rsidRPr="00B97C07">
        <w:rPr>
          <w:sz w:val="22"/>
          <w:szCs w:val="22"/>
        </w:rPr>
        <w:t xml:space="preserve"> are part of a load sharing agreement with FPL, and </w:t>
      </w:r>
      <w:r w:rsidR="00DB4227" w:rsidRPr="00B97C07">
        <w:rPr>
          <w:sz w:val="22"/>
          <w:szCs w:val="22"/>
        </w:rPr>
        <w:t xml:space="preserve">they do not </w:t>
      </w:r>
      <w:r w:rsidR="001D4E7A" w:rsidRPr="00B97C07">
        <w:rPr>
          <w:sz w:val="22"/>
          <w:szCs w:val="22"/>
        </w:rPr>
        <w:t xml:space="preserve">meet all the conditions of 40 CFR 63.6640(f)(4)(ii).  Therefore, these units cannot meet the definition of </w:t>
      </w:r>
      <w:r w:rsidR="001D4E7A" w:rsidRPr="00B97C07">
        <w:rPr>
          <w:i/>
          <w:sz w:val="22"/>
          <w:szCs w:val="22"/>
        </w:rPr>
        <w:t>emergency engine</w:t>
      </w:r>
      <w:r w:rsidR="001D4E7A" w:rsidRPr="00B97C07">
        <w:rPr>
          <w:sz w:val="22"/>
          <w:szCs w:val="22"/>
        </w:rPr>
        <w:t>, as defined in 40 CFR 63, Subpart ZZZZ.</w:t>
      </w:r>
      <w:r w:rsidR="001D4E7A">
        <w:rPr>
          <w:sz w:val="22"/>
          <w:szCs w:val="22"/>
        </w:rPr>
        <w:t xml:space="preserve">  </w:t>
      </w:r>
      <w:r w:rsidR="00BE5851">
        <w:rPr>
          <w:sz w:val="22"/>
          <w:szCs w:val="22"/>
        </w:rPr>
        <w:t xml:space="preserve">They are regulated </w:t>
      </w:r>
      <w:r w:rsidR="00311637">
        <w:rPr>
          <w:sz w:val="22"/>
          <w:szCs w:val="22"/>
        </w:rPr>
        <w:t>as</w:t>
      </w:r>
      <w:r w:rsidR="00BE5851">
        <w:rPr>
          <w:sz w:val="22"/>
          <w:szCs w:val="22"/>
        </w:rPr>
        <w:t xml:space="preserve"> non-emergency engines.</w:t>
      </w:r>
    </w:p>
    <w:tbl>
      <w:tblPr>
        <w:tblStyle w:val="TableGrid"/>
        <w:tblW w:w="10065" w:type="dxa"/>
        <w:tblCellMar>
          <w:left w:w="115" w:type="dxa"/>
          <w:right w:w="115" w:type="dxa"/>
        </w:tblCellMar>
        <w:tblLook w:val="04A0" w:firstRow="1" w:lastRow="0" w:firstColumn="1" w:lastColumn="0" w:noHBand="0" w:noVBand="1"/>
      </w:tblPr>
      <w:tblGrid>
        <w:gridCol w:w="732"/>
        <w:gridCol w:w="1208"/>
        <w:gridCol w:w="1441"/>
        <w:gridCol w:w="891"/>
        <w:gridCol w:w="1428"/>
        <w:gridCol w:w="1684"/>
        <w:gridCol w:w="1465"/>
        <w:gridCol w:w="1216"/>
      </w:tblGrid>
      <w:tr w:rsidR="00750839" w:rsidTr="00336CCC">
        <w:tc>
          <w:tcPr>
            <w:tcW w:w="732" w:type="dxa"/>
            <w:tcBorders>
              <w:top w:val="single" w:sz="12" w:space="0" w:color="auto"/>
              <w:left w:val="single" w:sz="12" w:space="0" w:color="auto"/>
              <w:bottom w:val="single" w:sz="12" w:space="0" w:color="auto"/>
            </w:tcBorders>
            <w:shd w:val="clear" w:color="auto" w:fill="BDD6EE" w:themeFill="accent1" w:themeFillTint="66"/>
            <w:vAlign w:val="center"/>
          </w:tcPr>
          <w:p w:rsidR="00750839" w:rsidRPr="00AF2D13" w:rsidRDefault="00750839" w:rsidP="00752614">
            <w:pPr>
              <w:jc w:val="center"/>
              <w:rPr>
                <w:b/>
                <w:sz w:val="22"/>
                <w:szCs w:val="22"/>
              </w:rPr>
            </w:pPr>
            <w:r w:rsidRPr="00AF2D13">
              <w:rPr>
                <w:b/>
                <w:sz w:val="22"/>
                <w:szCs w:val="22"/>
              </w:rPr>
              <w:t>No. of Units</w:t>
            </w:r>
          </w:p>
        </w:tc>
        <w:tc>
          <w:tcPr>
            <w:tcW w:w="1208" w:type="dxa"/>
            <w:tcBorders>
              <w:top w:val="single" w:sz="12" w:space="0" w:color="auto"/>
              <w:bottom w:val="single" w:sz="12" w:space="0" w:color="auto"/>
            </w:tcBorders>
            <w:shd w:val="clear" w:color="auto" w:fill="BDD6EE" w:themeFill="accent1" w:themeFillTint="66"/>
            <w:vAlign w:val="center"/>
          </w:tcPr>
          <w:p w:rsidR="00750839" w:rsidRPr="00AF2D13" w:rsidRDefault="00750839" w:rsidP="00752614">
            <w:pPr>
              <w:jc w:val="center"/>
              <w:rPr>
                <w:b/>
                <w:sz w:val="22"/>
                <w:szCs w:val="22"/>
              </w:rPr>
            </w:pPr>
            <w:r w:rsidRPr="00AF2D13">
              <w:rPr>
                <w:b/>
                <w:sz w:val="22"/>
                <w:szCs w:val="22"/>
              </w:rPr>
              <w:t>Generator kW Rating</w:t>
            </w:r>
          </w:p>
        </w:tc>
        <w:tc>
          <w:tcPr>
            <w:tcW w:w="1441" w:type="dxa"/>
            <w:tcBorders>
              <w:top w:val="single" w:sz="12" w:space="0" w:color="auto"/>
              <w:bottom w:val="single" w:sz="12" w:space="0" w:color="auto"/>
            </w:tcBorders>
            <w:shd w:val="clear" w:color="auto" w:fill="BDD6EE" w:themeFill="accent1" w:themeFillTint="66"/>
            <w:vAlign w:val="center"/>
          </w:tcPr>
          <w:p w:rsidR="00750839" w:rsidRPr="00AF2D13" w:rsidRDefault="00750839" w:rsidP="004B0E21">
            <w:pPr>
              <w:jc w:val="center"/>
              <w:rPr>
                <w:b/>
                <w:sz w:val="22"/>
                <w:szCs w:val="22"/>
              </w:rPr>
            </w:pPr>
            <w:r w:rsidRPr="00AF2D13">
              <w:rPr>
                <w:b/>
                <w:sz w:val="22"/>
                <w:szCs w:val="22"/>
              </w:rPr>
              <w:t>Generator Make/Model</w:t>
            </w:r>
          </w:p>
        </w:tc>
        <w:tc>
          <w:tcPr>
            <w:tcW w:w="891" w:type="dxa"/>
            <w:tcBorders>
              <w:top w:val="single" w:sz="12" w:space="0" w:color="auto"/>
              <w:bottom w:val="single" w:sz="12" w:space="0" w:color="auto"/>
            </w:tcBorders>
            <w:shd w:val="clear" w:color="auto" w:fill="BDD6EE" w:themeFill="accent1" w:themeFillTint="66"/>
            <w:vAlign w:val="center"/>
          </w:tcPr>
          <w:p w:rsidR="00750839" w:rsidRPr="00AF2D13" w:rsidRDefault="00750839" w:rsidP="00752614">
            <w:pPr>
              <w:jc w:val="center"/>
              <w:rPr>
                <w:b/>
                <w:sz w:val="22"/>
                <w:szCs w:val="22"/>
              </w:rPr>
            </w:pPr>
            <w:r w:rsidRPr="00AF2D13">
              <w:rPr>
                <w:b/>
                <w:sz w:val="22"/>
                <w:szCs w:val="22"/>
              </w:rPr>
              <w:t>Engine HP Rating</w:t>
            </w:r>
          </w:p>
        </w:tc>
        <w:tc>
          <w:tcPr>
            <w:tcW w:w="1428" w:type="dxa"/>
            <w:tcBorders>
              <w:top w:val="single" w:sz="12" w:space="0" w:color="auto"/>
              <w:bottom w:val="single" w:sz="12" w:space="0" w:color="auto"/>
            </w:tcBorders>
            <w:shd w:val="clear" w:color="auto" w:fill="BDD6EE" w:themeFill="accent1" w:themeFillTint="66"/>
            <w:vAlign w:val="center"/>
          </w:tcPr>
          <w:p w:rsidR="00750839" w:rsidRPr="00AF2D13" w:rsidRDefault="00750839" w:rsidP="00752614">
            <w:pPr>
              <w:jc w:val="center"/>
              <w:rPr>
                <w:b/>
                <w:sz w:val="22"/>
                <w:szCs w:val="22"/>
              </w:rPr>
            </w:pPr>
            <w:r w:rsidRPr="00AF2D13">
              <w:rPr>
                <w:b/>
                <w:sz w:val="22"/>
                <w:szCs w:val="22"/>
              </w:rPr>
              <w:t>Engine Make/Model</w:t>
            </w:r>
          </w:p>
        </w:tc>
        <w:tc>
          <w:tcPr>
            <w:tcW w:w="1684" w:type="dxa"/>
            <w:tcBorders>
              <w:top w:val="single" w:sz="12" w:space="0" w:color="auto"/>
              <w:bottom w:val="single" w:sz="12" w:space="0" w:color="auto"/>
            </w:tcBorders>
            <w:shd w:val="clear" w:color="auto" w:fill="BDD6EE" w:themeFill="accent1" w:themeFillTint="66"/>
            <w:vAlign w:val="center"/>
          </w:tcPr>
          <w:p w:rsidR="00750839" w:rsidRPr="00AF2D13" w:rsidRDefault="00750839" w:rsidP="00752614">
            <w:pPr>
              <w:jc w:val="center"/>
              <w:rPr>
                <w:b/>
                <w:sz w:val="22"/>
                <w:szCs w:val="22"/>
              </w:rPr>
            </w:pPr>
            <w:r w:rsidRPr="00AF2D13">
              <w:rPr>
                <w:b/>
                <w:sz w:val="22"/>
                <w:szCs w:val="22"/>
              </w:rPr>
              <w:t>Displacement (liters/cylinder)</w:t>
            </w:r>
          </w:p>
        </w:tc>
        <w:tc>
          <w:tcPr>
            <w:tcW w:w="1465" w:type="dxa"/>
            <w:tcBorders>
              <w:top w:val="single" w:sz="12" w:space="0" w:color="auto"/>
              <w:bottom w:val="single" w:sz="12" w:space="0" w:color="auto"/>
            </w:tcBorders>
            <w:shd w:val="clear" w:color="auto" w:fill="BDD6EE" w:themeFill="accent1" w:themeFillTint="66"/>
            <w:vAlign w:val="center"/>
          </w:tcPr>
          <w:p w:rsidR="00750839" w:rsidRPr="00AF2D13" w:rsidRDefault="00750839" w:rsidP="00752614">
            <w:pPr>
              <w:jc w:val="center"/>
              <w:rPr>
                <w:b/>
                <w:sz w:val="22"/>
                <w:szCs w:val="22"/>
              </w:rPr>
            </w:pPr>
            <w:r w:rsidRPr="00AF2D13">
              <w:rPr>
                <w:b/>
                <w:sz w:val="22"/>
                <w:szCs w:val="22"/>
              </w:rPr>
              <w:t>Date of Construction</w:t>
            </w:r>
          </w:p>
        </w:tc>
        <w:tc>
          <w:tcPr>
            <w:tcW w:w="1216" w:type="dxa"/>
            <w:tcBorders>
              <w:top w:val="single" w:sz="12" w:space="0" w:color="auto"/>
              <w:bottom w:val="single" w:sz="12" w:space="0" w:color="auto"/>
              <w:right w:val="single" w:sz="12" w:space="0" w:color="auto"/>
            </w:tcBorders>
            <w:shd w:val="clear" w:color="auto" w:fill="BDD6EE" w:themeFill="accent1" w:themeFillTint="66"/>
            <w:vAlign w:val="center"/>
          </w:tcPr>
          <w:p w:rsidR="00750839" w:rsidRPr="00AF2D13" w:rsidRDefault="00750839" w:rsidP="00752614">
            <w:pPr>
              <w:jc w:val="center"/>
              <w:rPr>
                <w:b/>
                <w:sz w:val="22"/>
                <w:szCs w:val="22"/>
              </w:rPr>
            </w:pPr>
            <w:r w:rsidRPr="00AF2D13">
              <w:rPr>
                <w:b/>
                <w:sz w:val="22"/>
                <w:szCs w:val="22"/>
              </w:rPr>
              <w:t>Model Year</w:t>
            </w:r>
          </w:p>
        </w:tc>
      </w:tr>
      <w:tr w:rsidR="00750839" w:rsidTr="00750839">
        <w:tc>
          <w:tcPr>
            <w:tcW w:w="732" w:type="dxa"/>
            <w:tcBorders>
              <w:top w:val="single" w:sz="12" w:space="0" w:color="auto"/>
              <w:left w:val="single" w:sz="12" w:space="0" w:color="auto"/>
            </w:tcBorders>
            <w:vAlign w:val="center"/>
          </w:tcPr>
          <w:p w:rsidR="00750839" w:rsidRDefault="00750839" w:rsidP="00752614">
            <w:pPr>
              <w:jc w:val="center"/>
              <w:rPr>
                <w:sz w:val="22"/>
                <w:szCs w:val="22"/>
              </w:rPr>
            </w:pPr>
            <w:r>
              <w:rPr>
                <w:sz w:val="22"/>
                <w:szCs w:val="22"/>
              </w:rPr>
              <w:t>3</w:t>
            </w:r>
          </w:p>
        </w:tc>
        <w:tc>
          <w:tcPr>
            <w:tcW w:w="1208" w:type="dxa"/>
            <w:tcBorders>
              <w:top w:val="single" w:sz="12" w:space="0" w:color="auto"/>
            </w:tcBorders>
            <w:vAlign w:val="center"/>
          </w:tcPr>
          <w:p w:rsidR="00750839" w:rsidRDefault="006B4611" w:rsidP="00752614">
            <w:pPr>
              <w:jc w:val="center"/>
              <w:rPr>
                <w:sz w:val="22"/>
                <w:szCs w:val="22"/>
              </w:rPr>
            </w:pPr>
            <w:r>
              <w:rPr>
                <w:sz w:val="22"/>
                <w:szCs w:val="22"/>
              </w:rPr>
              <w:t>1500</w:t>
            </w:r>
          </w:p>
        </w:tc>
        <w:tc>
          <w:tcPr>
            <w:tcW w:w="1441" w:type="dxa"/>
            <w:tcBorders>
              <w:top w:val="single" w:sz="12" w:space="0" w:color="auto"/>
            </w:tcBorders>
            <w:vAlign w:val="center"/>
          </w:tcPr>
          <w:p w:rsidR="00750839" w:rsidRDefault="006B4611" w:rsidP="004B0E21">
            <w:pPr>
              <w:jc w:val="center"/>
              <w:rPr>
                <w:sz w:val="22"/>
                <w:szCs w:val="22"/>
              </w:rPr>
            </w:pPr>
            <w:r>
              <w:rPr>
                <w:sz w:val="22"/>
                <w:szCs w:val="22"/>
              </w:rPr>
              <w:t>Kohler</w:t>
            </w:r>
            <w:r w:rsidR="006C643E">
              <w:rPr>
                <w:sz w:val="22"/>
                <w:szCs w:val="22"/>
              </w:rPr>
              <w:t xml:space="preserve"> 1500ROZD</w:t>
            </w:r>
          </w:p>
        </w:tc>
        <w:tc>
          <w:tcPr>
            <w:tcW w:w="891" w:type="dxa"/>
            <w:tcBorders>
              <w:top w:val="single" w:sz="12" w:space="0" w:color="auto"/>
            </w:tcBorders>
            <w:vAlign w:val="center"/>
          </w:tcPr>
          <w:p w:rsidR="00750839" w:rsidRDefault="006B4611" w:rsidP="00752614">
            <w:pPr>
              <w:jc w:val="center"/>
              <w:rPr>
                <w:sz w:val="22"/>
                <w:szCs w:val="22"/>
              </w:rPr>
            </w:pPr>
            <w:r>
              <w:rPr>
                <w:sz w:val="22"/>
                <w:szCs w:val="22"/>
              </w:rPr>
              <w:t>1696</w:t>
            </w:r>
          </w:p>
        </w:tc>
        <w:tc>
          <w:tcPr>
            <w:tcW w:w="1428" w:type="dxa"/>
            <w:tcBorders>
              <w:top w:val="single" w:sz="12" w:space="0" w:color="auto"/>
            </w:tcBorders>
            <w:vAlign w:val="center"/>
          </w:tcPr>
          <w:p w:rsidR="00750839" w:rsidRDefault="00750839" w:rsidP="00752614">
            <w:pPr>
              <w:jc w:val="center"/>
              <w:rPr>
                <w:sz w:val="22"/>
                <w:szCs w:val="22"/>
              </w:rPr>
            </w:pPr>
            <w:r>
              <w:rPr>
                <w:sz w:val="22"/>
                <w:szCs w:val="22"/>
              </w:rPr>
              <w:t>Detroit Diesel</w:t>
            </w:r>
          </w:p>
        </w:tc>
        <w:tc>
          <w:tcPr>
            <w:tcW w:w="1684" w:type="dxa"/>
            <w:tcBorders>
              <w:top w:val="single" w:sz="12" w:space="0" w:color="auto"/>
            </w:tcBorders>
            <w:vAlign w:val="center"/>
          </w:tcPr>
          <w:p w:rsidR="00750839" w:rsidRDefault="00750839" w:rsidP="00752614">
            <w:pPr>
              <w:jc w:val="center"/>
              <w:rPr>
                <w:sz w:val="22"/>
                <w:szCs w:val="22"/>
              </w:rPr>
            </w:pPr>
            <w:r>
              <w:rPr>
                <w:sz w:val="22"/>
                <w:szCs w:val="22"/>
              </w:rPr>
              <w:t>2.44</w:t>
            </w:r>
          </w:p>
        </w:tc>
        <w:tc>
          <w:tcPr>
            <w:tcW w:w="1465" w:type="dxa"/>
            <w:tcBorders>
              <w:top w:val="single" w:sz="12" w:space="0" w:color="auto"/>
            </w:tcBorders>
            <w:vAlign w:val="center"/>
          </w:tcPr>
          <w:p w:rsidR="00750839" w:rsidRDefault="00750839" w:rsidP="00752614">
            <w:pPr>
              <w:jc w:val="center"/>
              <w:rPr>
                <w:sz w:val="22"/>
                <w:szCs w:val="22"/>
              </w:rPr>
            </w:pPr>
            <w:r>
              <w:rPr>
                <w:sz w:val="22"/>
                <w:szCs w:val="22"/>
              </w:rPr>
              <w:t>05/24/1997</w:t>
            </w:r>
          </w:p>
        </w:tc>
        <w:tc>
          <w:tcPr>
            <w:tcW w:w="1216" w:type="dxa"/>
            <w:tcBorders>
              <w:top w:val="single" w:sz="12" w:space="0" w:color="auto"/>
              <w:right w:val="single" w:sz="12" w:space="0" w:color="auto"/>
            </w:tcBorders>
            <w:vAlign w:val="center"/>
          </w:tcPr>
          <w:p w:rsidR="00750839" w:rsidRDefault="00750839" w:rsidP="00752614">
            <w:pPr>
              <w:jc w:val="center"/>
              <w:rPr>
                <w:sz w:val="22"/>
                <w:szCs w:val="22"/>
              </w:rPr>
            </w:pPr>
            <w:r>
              <w:rPr>
                <w:sz w:val="22"/>
                <w:szCs w:val="22"/>
              </w:rPr>
              <w:t>1997</w:t>
            </w:r>
          </w:p>
        </w:tc>
      </w:tr>
      <w:tr w:rsidR="00750839" w:rsidTr="00750839">
        <w:tc>
          <w:tcPr>
            <w:tcW w:w="732" w:type="dxa"/>
            <w:tcBorders>
              <w:left w:val="single" w:sz="12" w:space="0" w:color="auto"/>
              <w:bottom w:val="single" w:sz="12" w:space="0" w:color="auto"/>
            </w:tcBorders>
            <w:vAlign w:val="center"/>
          </w:tcPr>
          <w:p w:rsidR="00750839" w:rsidRDefault="00750839" w:rsidP="00752614">
            <w:pPr>
              <w:jc w:val="center"/>
              <w:rPr>
                <w:sz w:val="22"/>
                <w:szCs w:val="22"/>
              </w:rPr>
            </w:pPr>
            <w:r>
              <w:rPr>
                <w:sz w:val="22"/>
                <w:szCs w:val="22"/>
              </w:rPr>
              <w:t>1</w:t>
            </w:r>
          </w:p>
        </w:tc>
        <w:tc>
          <w:tcPr>
            <w:tcW w:w="1208" w:type="dxa"/>
            <w:tcBorders>
              <w:bottom w:val="single" w:sz="12" w:space="0" w:color="auto"/>
            </w:tcBorders>
            <w:vAlign w:val="center"/>
          </w:tcPr>
          <w:p w:rsidR="00750839" w:rsidRDefault="00750839" w:rsidP="00752614">
            <w:pPr>
              <w:jc w:val="center"/>
              <w:rPr>
                <w:sz w:val="22"/>
                <w:szCs w:val="22"/>
              </w:rPr>
            </w:pPr>
            <w:r>
              <w:rPr>
                <w:sz w:val="22"/>
                <w:szCs w:val="22"/>
              </w:rPr>
              <w:t>1360</w:t>
            </w:r>
          </w:p>
        </w:tc>
        <w:tc>
          <w:tcPr>
            <w:tcW w:w="1441" w:type="dxa"/>
            <w:tcBorders>
              <w:bottom w:val="single" w:sz="12" w:space="0" w:color="auto"/>
            </w:tcBorders>
            <w:vAlign w:val="center"/>
          </w:tcPr>
          <w:p w:rsidR="00750839" w:rsidRDefault="00750839" w:rsidP="004B0E21">
            <w:pPr>
              <w:jc w:val="center"/>
              <w:rPr>
                <w:sz w:val="22"/>
                <w:szCs w:val="22"/>
              </w:rPr>
            </w:pPr>
            <w:r>
              <w:rPr>
                <w:sz w:val="22"/>
                <w:szCs w:val="22"/>
              </w:rPr>
              <w:t>Caterpillar 3516</w:t>
            </w:r>
          </w:p>
        </w:tc>
        <w:tc>
          <w:tcPr>
            <w:tcW w:w="891" w:type="dxa"/>
            <w:tcBorders>
              <w:bottom w:val="single" w:sz="12" w:space="0" w:color="auto"/>
            </w:tcBorders>
            <w:vAlign w:val="center"/>
          </w:tcPr>
          <w:p w:rsidR="00750839" w:rsidRDefault="006B4611" w:rsidP="00752614">
            <w:pPr>
              <w:jc w:val="center"/>
              <w:rPr>
                <w:sz w:val="22"/>
                <w:szCs w:val="22"/>
              </w:rPr>
            </w:pPr>
            <w:r>
              <w:rPr>
                <w:sz w:val="22"/>
                <w:szCs w:val="22"/>
              </w:rPr>
              <w:t>1467</w:t>
            </w:r>
          </w:p>
        </w:tc>
        <w:tc>
          <w:tcPr>
            <w:tcW w:w="1428" w:type="dxa"/>
            <w:tcBorders>
              <w:bottom w:val="single" w:sz="12" w:space="0" w:color="auto"/>
            </w:tcBorders>
            <w:vAlign w:val="center"/>
          </w:tcPr>
          <w:p w:rsidR="00750839" w:rsidRDefault="00750839" w:rsidP="00752614">
            <w:pPr>
              <w:jc w:val="center"/>
              <w:rPr>
                <w:sz w:val="22"/>
                <w:szCs w:val="22"/>
              </w:rPr>
            </w:pPr>
            <w:r>
              <w:rPr>
                <w:sz w:val="22"/>
                <w:szCs w:val="22"/>
              </w:rPr>
              <w:t>Caterpillar</w:t>
            </w:r>
          </w:p>
        </w:tc>
        <w:tc>
          <w:tcPr>
            <w:tcW w:w="1684" w:type="dxa"/>
            <w:tcBorders>
              <w:bottom w:val="single" w:sz="12" w:space="0" w:color="auto"/>
            </w:tcBorders>
            <w:vAlign w:val="center"/>
          </w:tcPr>
          <w:p w:rsidR="00750839" w:rsidRDefault="00750839" w:rsidP="00752614">
            <w:pPr>
              <w:jc w:val="center"/>
              <w:rPr>
                <w:sz w:val="22"/>
                <w:szCs w:val="22"/>
              </w:rPr>
            </w:pPr>
            <w:r>
              <w:rPr>
                <w:sz w:val="22"/>
                <w:szCs w:val="22"/>
              </w:rPr>
              <w:t>4.3</w:t>
            </w:r>
            <w:r w:rsidR="00215DC0">
              <w:rPr>
                <w:sz w:val="22"/>
                <w:szCs w:val="22"/>
              </w:rPr>
              <w:t>2</w:t>
            </w:r>
          </w:p>
        </w:tc>
        <w:tc>
          <w:tcPr>
            <w:tcW w:w="1465" w:type="dxa"/>
            <w:tcBorders>
              <w:bottom w:val="single" w:sz="12" w:space="0" w:color="auto"/>
            </w:tcBorders>
            <w:vAlign w:val="center"/>
          </w:tcPr>
          <w:p w:rsidR="00750839" w:rsidRDefault="00750839" w:rsidP="00752614">
            <w:pPr>
              <w:jc w:val="center"/>
              <w:rPr>
                <w:sz w:val="22"/>
                <w:szCs w:val="22"/>
              </w:rPr>
            </w:pPr>
            <w:r>
              <w:rPr>
                <w:sz w:val="22"/>
                <w:szCs w:val="22"/>
              </w:rPr>
              <w:t>09/17/1999</w:t>
            </w:r>
          </w:p>
        </w:tc>
        <w:tc>
          <w:tcPr>
            <w:tcW w:w="1216" w:type="dxa"/>
            <w:tcBorders>
              <w:bottom w:val="single" w:sz="12" w:space="0" w:color="auto"/>
              <w:right w:val="single" w:sz="12" w:space="0" w:color="auto"/>
            </w:tcBorders>
            <w:vAlign w:val="center"/>
          </w:tcPr>
          <w:p w:rsidR="00750839" w:rsidRDefault="00750839" w:rsidP="00752614">
            <w:pPr>
              <w:jc w:val="center"/>
              <w:rPr>
                <w:sz w:val="22"/>
                <w:szCs w:val="22"/>
              </w:rPr>
            </w:pPr>
            <w:r>
              <w:rPr>
                <w:sz w:val="22"/>
                <w:szCs w:val="22"/>
              </w:rPr>
              <w:t>1999</w:t>
            </w:r>
          </w:p>
        </w:tc>
      </w:tr>
    </w:tbl>
    <w:p w:rsidR="00B00273" w:rsidRPr="003F1E8B" w:rsidRDefault="003F1E8B" w:rsidP="00CC4D07">
      <w:pPr>
        <w:spacing w:before="120" w:after="120"/>
        <w:rPr>
          <w:i/>
          <w:sz w:val="22"/>
          <w:szCs w:val="22"/>
        </w:rPr>
      </w:pPr>
      <w:r>
        <w:rPr>
          <w:i/>
          <w:sz w:val="22"/>
          <w:szCs w:val="22"/>
        </w:rPr>
        <w:t xml:space="preserve">{Permitting Note:  </w:t>
      </w:r>
      <w:r w:rsidR="000400BD">
        <w:rPr>
          <w:i/>
          <w:sz w:val="22"/>
          <w:szCs w:val="22"/>
        </w:rPr>
        <w:t>This emissions unit</w:t>
      </w:r>
      <w:r w:rsidR="00786942">
        <w:rPr>
          <w:i/>
          <w:sz w:val="22"/>
          <w:szCs w:val="22"/>
        </w:rPr>
        <w:t xml:space="preserve"> </w:t>
      </w:r>
      <w:r w:rsidR="000400BD">
        <w:rPr>
          <w:i/>
          <w:sz w:val="22"/>
          <w:szCs w:val="22"/>
        </w:rPr>
        <w:t xml:space="preserve">is </w:t>
      </w:r>
      <w:r w:rsidR="00786942">
        <w:rPr>
          <w:i/>
          <w:sz w:val="22"/>
          <w:szCs w:val="22"/>
        </w:rPr>
        <w:t>regulated under 40 CFR 63, Subparts A – General Provisions and ZZZZ</w:t>
      </w:r>
      <w:r w:rsidR="00F05465">
        <w:rPr>
          <w:i/>
          <w:sz w:val="22"/>
          <w:szCs w:val="22"/>
        </w:rPr>
        <w:t xml:space="preserve"> – NESHAP for Stationary RICE, adopted and incorporated by reference in Rule 62-204.800</w:t>
      </w:r>
      <w:r w:rsidR="00D53FCC">
        <w:rPr>
          <w:i/>
          <w:sz w:val="22"/>
          <w:szCs w:val="22"/>
        </w:rPr>
        <w:t>, F.A.C</w:t>
      </w:r>
      <w:r w:rsidR="00FE4EAD">
        <w:rPr>
          <w:i/>
          <w:sz w:val="22"/>
          <w:szCs w:val="22"/>
        </w:rPr>
        <w:t>.}</w:t>
      </w:r>
    </w:p>
    <w:p w:rsidR="00DE6A6E" w:rsidRPr="00845DA5" w:rsidRDefault="00DE6A6E" w:rsidP="00DE6A6E">
      <w:pPr>
        <w:spacing w:before="120" w:after="120"/>
        <w:rPr>
          <w:b/>
          <w:caps/>
          <w:sz w:val="22"/>
          <w:szCs w:val="22"/>
        </w:rPr>
      </w:pPr>
      <w:r w:rsidRPr="00845DA5">
        <w:rPr>
          <w:b/>
          <w:caps/>
          <w:sz w:val="22"/>
          <w:szCs w:val="22"/>
        </w:rPr>
        <w:t>Performance Restrictions</w:t>
      </w:r>
    </w:p>
    <w:p w:rsidR="00AF5D83" w:rsidRPr="00AF5D83" w:rsidRDefault="00AF5D83" w:rsidP="005271ED">
      <w:pPr>
        <w:numPr>
          <w:ilvl w:val="0"/>
          <w:numId w:val="9"/>
        </w:numPr>
        <w:spacing w:after="120"/>
        <w:rPr>
          <w:sz w:val="22"/>
          <w:szCs w:val="22"/>
        </w:rPr>
      </w:pPr>
      <w:r>
        <w:rPr>
          <w:sz w:val="22"/>
          <w:szCs w:val="22"/>
          <w:u w:val="single"/>
        </w:rPr>
        <w:t>Engine Startup</w:t>
      </w:r>
      <w:r>
        <w:rPr>
          <w:sz w:val="22"/>
          <w:szCs w:val="22"/>
        </w:rPr>
        <w:t>:  During periods of startup, the owner or operator must minimize the engine’s time spent at idle and minimize the engine’s startup time to a period needed for the appropriate and safe loading of the engine, not to exceed 30 minutes, after which time the non-startup emission limitations apply.  [Rule 62-204.800, F.A.C.; and 40 CFR 63.6625(h)]</w:t>
      </w:r>
    </w:p>
    <w:p w:rsidR="00D86D57" w:rsidRPr="00845DA5" w:rsidRDefault="00D86D57" w:rsidP="005271ED">
      <w:pPr>
        <w:numPr>
          <w:ilvl w:val="0"/>
          <w:numId w:val="9"/>
        </w:numPr>
        <w:spacing w:after="120"/>
        <w:rPr>
          <w:sz w:val="22"/>
          <w:szCs w:val="22"/>
        </w:rPr>
      </w:pPr>
      <w:r>
        <w:rPr>
          <w:sz w:val="22"/>
          <w:szCs w:val="22"/>
          <w:u w:val="single"/>
        </w:rPr>
        <w:t>Fuel Consumption Limit</w:t>
      </w:r>
      <w:r>
        <w:rPr>
          <w:sz w:val="22"/>
          <w:szCs w:val="22"/>
        </w:rPr>
        <w:t>:  Consumption of diesel fuel for the generators is limited to not more than 176,000 gallons in any consecutive 12-month period.  [</w:t>
      </w:r>
      <w:r w:rsidR="000B0EF8">
        <w:rPr>
          <w:sz w:val="22"/>
          <w:szCs w:val="22"/>
        </w:rPr>
        <w:t>Permit No. 0990347-002-AF]</w:t>
      </w:r>
    </w:p>
    <w:p w:rsidR="00E85CB2" w:rsidRPr="004C1A4E" w:rsidRDefault="00DE6A6E" w:rsidP="005271ED">
      <w:pPr>
        <w:numPr>
          <w:ilvl w:val="0"/>
          <w:numId w:val="9"/>
        </w:numPr>
        <w:rPr>
          <w:sz w:val="22"/>
          <w:szCs w:val="22"/>
        </w:rPr>
      </w:pPr>
      <w:r w:rsidRPr="004C1A4E">
        <w:rPr>
          <w:sz w:val="22"/>
          <w:szCs w:val="22"/>
          <w:u w:val="single"/>
        </w:rPr>
        <w:t>Authorized Fuel</w:t>
      </w:r>
      <w:r w:rsidRPr="004C1A4E">
        <w:rPr>
          <w:sz w:val="22"/>
          <w:szCs w:val="22"/>
        </w:rPr>
        <w:t>:</w:t>
      </w:r>
    </w:p>
    <w:p w:rsidR="00DE6A6E" w:rsidRDefault="00711912" w:rsidP="005271ED">
      <w:pPr>
        <w:pStyle w:val="ListParagraph"/>
        <w:numPr>
          <w:ilvl w:val="0"/>
          <w:numId w:val="11"/>
        </w:numPr>
        <w:spacing w:after="120"/>
        <w:ind w:left="720"/>
        <w:rPr>
          <w:sz w:val="22"/>
          <w:szCs w:val="22"/>
        </w:rPr>
      </w:pPr>
      <w:r>
        <w:rPr>
          <w:i/>
          <w:sz w:val="22"/>
          <w:szCs w:val="22"/>
        </w:rPr>
        <w:t>Permit Limit</w:t>
      </w:r>
      <w:r>
        <w:rPr>
          <w:sz w:val="22"/>
          <w:szCs w:val="22"/>
        </w:rPr>
        <w:t xml:space="preserve">.  </w:t>
      </w:r>
      <w:r w:rsidR="00AC2DD3" w:rsidRPr="00711912">
        <w:rPr>
          <w:sz w:val="22"/>
          <w:szCs w:val="22"/>
        </w:rPr>
        <w:t>The</w:t>
      </w:r>
      <w:r w:rsidR="00AC2DD3" w:rsidRPr="00E85CB2">
        <w:rPr>
          <w:sz w:val="22"/>
          <w:szCs w:val="22"/>
        </w:rPr>
        <w:t xml:space="preserve"> diesel fuel burned by the generators shall contain 0.05% or less (by weight) of sulfur, as determined by </w:t>
      </w:r>
      <w:r w:rsidR="00010C8B" w:rsidRPr="00E85CB2">
        <w:rPr>
          <w:sz w:val="22"/>
          <w:szCs w:val="22"/>
        </w:rPr>
        <w:t xml:space="preserve">American Society </w:t>
      </w:r>
      <w:r w:rsidR="00AC2DD3" w:rsidRPr="00E85CB2">
        <w:rPr>
          <w:sz w:val="22"/>
          <w:szCs w:val="22"/>
        </w:rPr>
        <w:t xml:space="preserve">for Testing and Materials (ASTM) methods ASTM D4057-88, ASTM D129-91, ASTM </w:t>
      </w:r>
      <w:r w:rsidR="00AC2DD3" w:rsidRPr="00344713">
        <w:rPr>
          <w:sz w:val="22"/>
          <w:szCs w:val="22"/>
        </w:rPr>
        <w:t>D2622-94, or ASTM D4294-90, or latest edition.</w:t>
      </w:r>
      <w:r w:rsidR="00DE6A6E" w:rsidRPr="00344713">
        <w:rPr>
          <w:sz w:val="22"/>
          <w:szCs w:val="22"/>
        </w:rPr>
        <w:t xml:space="preserve">  [Rule 62-210.200(PTE), F.A.C.</w:t>
      </w:r>
      <w:r w:rsidR="001013E6" w:rsidRPr="00344713">
        <w:rPr>
          <w:sz w:val="22"/>
          <w:szCs w:val="22"/>
        </w:rPr>
        <w:t>; and Permit No. 0990347-</w:t>
      </w:r>
      <w:r w:rsidR="00344713" w:rsidRPr="00344713">
        <w:rPr>
          <w:sz w:val="22"/>
          <w:szCs w:val="22"/>
        </w:rPr>
        <w:t>006</w:t>
      </w:r>
      <w:r w:rsidR="001013E6" w:rsidRPr="00344713">
        <w:rPr>
          <w:sz w:val="22"/>
          <w:szCs w:val="22"/>
        </w:rPr>
        <w:t>-AF</w:t>
      </w:r>
      <w:r w:rsidR="00DE6A6E" w:rsidRPr="00344713">
        <w:rPr>
          <w:sz w:val="22"/>
          <w:szCs w:val="22"/>
        </w:rPr>
        <w:t>]</w:t>
      </w:r>
    </w:p>
    <w:p w:rsidR="00711912" w:rsidRDefault="00711912" w:rsidP="005271ED">
      <w:pPr>
        <w:pStyle w:val="ListParagraph"/>
        <w:numPr>
          <w:ilvl w:val="0"/>
          <w:numId w:val="11"/>
        </w:numPr>
        <w:spacing w:after="120"/>
        <w:ind w:left="720"/>
        <w:rPr>
          <w:sz w:val="22"/>
          <w:szCs w:val="22"/>
        </w:rPr>
      </w:pPr>
      <w:r>
        <w:rPr>
          <w:i/>
          <w:sz w:val="22"/>
          <w:szCs w:val="22"/>
        </w:rPr>
        <w:t>Subpart ZZZZ Limit</w:t>
      </w:r>
      <w:r>
        <w:rPr>
          <w:sz w:val="22"/>
          <w:szCs w:val="22"/>
        </w:rPr>
        <w:t>.  These units must use diesel fuel that meets the following requirements for non-road diesel fuel.</w:t>
      </w:r>
    </w:p>
    <w:p w:rsidR="00711912" w:rsidRDefault="00711912" w:rsidP="005271ED">
      <w:pPr>
        <w:pStyle w:val="ListParagraph"/>
        <w:numPr>
          <w:ilvl w:val="0"/>
          <w:numId w:val="12"/>
        </w:numPr>
        <w:spacing w:after="120"/>
        <w:ind w:left="1080"/>
        <w:rPr>
          <w:sz w:val="22"/>
          <w:szCs w:val="22"/>
        </w:rPr>
      </w:pPr>
      <w:r>
        <w:rPr>
          <w:sz w:val="22"/>
          <w:szCs w:val="22"/>
        </w:rPr>
        <w:t>The sulfur content (on a per gallon basis) shall not exceed 15 parts per million</w:t>
      </w:r>
      <w:r w:rsidR="00242BEE">
        <w:rPr>
          <w:sz w:val="22"/>
          <w:szCs w:val="22"/>
        </w:rPr>
        <w:t xml:space="preserve"> (ppm)</w:t>
      </w:r>
      <w:r>
        <w:rPr>
          <w:sz w:val="22"/>
          <w:szCs w:val="22"/>
        </w:rPr>
        <w:t xml:space="preserve"> (=0.0015%) by weight for non-road diesel fuel.</w:t>
      </w:r>
    </w:p>
    <w:p w:rsidR="00711912" w:rsidRDefault="00711912" w:rsidP="005271ED">
      <w:pPr>
        <w:pStyle w:val="ListParagraph"/>
        <w:numPr>
          <w:ilvl w:val="0"/>
          <w:numId w:val="12"/>
        </w:numPr>
        <w:ind w:left="1080"/>
        <w:rPr>
          <w:sz w:val="22"/>
          <w:szCs w:val="22"/>
        </w:rPr>
      </w:pPr>
      <w:r>
        <w:rPr>
          <w:sz w:val="22"/>
          <w:szCs w:val="22"/>
        </w:rPr>
        <w:t>The fuel must have a minimum cetane index of 40 or must have a maximum aromatic content of 35% by volume.</w:t>
      </w:r>
    </w:p>
    <w:p w:rsidR="00B967A6" w:rsidRPr="00B967A6" w:rsidRDefault="00B967A6" w:rsidP="00AD46C0">
      <w:pPr>
        <w:spacing w:after="120"/>
        <w:ind w:left="720"/>
        <w:rPr>
          <w:sz w:val="22"/>
          <w:szCs w:val="22"/>
        </w:rPr>
      </w:pPr>
      <w:r w:rsidRPr="00B967A6">
        <w:rPr>
          <w:sz w:val="22"/>
          <w:szCs w:val="22"/>
        </w:rPr>
        <w:t xml:space="preserve">[Rules 62-204.800 </w:t>
      </w:r>
      <w:r w:rsidR="00994AA5">
        <w:rPr>
          <w:sz w:val="22"/>
          <w:szCs w:val="22"/>
        </w:rPr>
        <w:t xml:space="preserve">&amp; </w:t>
      </w:r>
      <w:r w:rsidRPr="00B967A6">
        <w:rPr>
          <w:sz w:val="22"/>
          <w:szCs w:val="22"/>
        </w:rPr>
        <w:t xml:space="preserve">62-210.200(PTE), F.A.C.; and 40 CFR 63.6604(b) </w:t>
      </w:r>
      <w:r w:rsidR="008F01D1">
        <w:rPr>
          <w:sz w:val="22"/>
          <w:szCs w:val="22"/>
        </w:rPr>
        <w:t>&amp;</w:t>
      </w:r>
      <w:r w:rsidRPr="00B967A6">
        <w:rPr>
          <w:sz w:val="22"/>
          <w:szCs w:val="22"/>
        </w:rPr>
        <w:t xml:space="preserve"> 80.510(b)]</w:t>
      </w:r>
    </w:p>
    <w:p w:rsidR="007600F7" w:rsidRPr="007600F7" w:rsidRDefault="007600F7" w:rsidP="007600F7">
      <w:pPr>
        <w:spacing w:after="120"/>
        <w:ind w:left="360"/>
        <w:rPr>
          <w:i/>
          <w:sz w:val="22"/>
          <w:szCs w:val="22"/>
        </w:rPr>
      </w:pPr>
      <w:r>
        <w:rPr>
          <w:i/>
          <w:sz w:val="22"/>
          <w:szCs w:val="22"/>
        </w:rPr>
        <w:t>{Permitting Note:  The sulfur content requirement from Subpart ZZZZ is more restrictive than the requirement established in Permit No. 0990347-002-AF.  Using fuel that mee</w:t>
      </w:r>
      <w:r w:rsidR="00D673B4">
        <w:rPr>
          <w:i/>
          <w:sz w:val="22"/>
          <w:szCs w:val="22"/>
        </w:rPr>
        <w:t>ts the Subpart ZZZZ requirement</w:t>
      </w:r>
      <w:r>
        <w:rPr>
          <w:i/>
          <w:sz w:val="22"/>
          <w:szCs w:val="22"/>
        </w:rPr>
        <w:t xml:space="preserve"> ensures </w:t>
      </w:r>
      <w:r w:rsidR="00E57CC6">
        <w:rPr>
          <w:i/>
          <w:sz w:val="22"/>
          <w:szCs w:val="22"/>
        </w:rPr>
        <w:t>compliance with the requirement</w:t>
      </w:r>
      <w:r>
        <w:rPr>
          <w:i/>
          <w:sz w:val="22"/>
          <w:szCs w:val="22"/>
        </w:rPr>
        <w:t xml:space="preserve"> from Permit No. 0990347-002-AF.}</w:t>
      </w:r>
    </w:p>
    <w:p w:rsidR="00E75928" w:rsidRPr="002673C2" w:rsidRDefault="007F6D3A" w:rsidP="005271ED">
      <w:pPr>
        <w:numPr>
          <w:ilvl w:val="0"/>
          <w:numId w:val="9"/>
        </w:numPr>
        <w:suppressAutoHyphens/>
        <w:spacing w:after="120"/>
        <w:rPr>
          <w:sz w:val="22"/>
          <w:szCs w:val="22"/>
        </w:rPr>
      </w:pPr>
      <w:r>
        <w:rPr>
          <w:sz w:val="22"/>
          <w:szCs w:val="22"/>
          <w:u w:val="single"/>
        </w:rPr>
        <w:t>Hours of</w:t>
      </w:r>
      <w:r w:rsidR="00DE6A6E" w:rsidRPr="00845DA5">
        <w:rPr>
          <w:sz w:val="22"/>
          <w:szCs w:val="22"/>
          <w:u w:val="single"/>
        </w:rPr>
        <w:t xml:space="preserve"> Operation</w:t>
      </w:r>
      <w:r>
        <w:rPr>
          <w:sz w:val="22"/>
          <w:szCs w:val="22"/>
        </w:rPr>
        <w:t>:</w:t>
      </w:r>
      <w:r w:rsidR="002F3531">
        <w:rPr>
          <w:sz w:val="22"/>
          <w:szCs w:val="22"/>
        </w:rPr>
        <w:t xml:space="preserve">  The hours of operation for these units </w:t>
      </w:r>
      <w:r w:rsidR="00A334F8">
        <w:rPr>
          <w:sz w:val="22"/>
          <w:szCs w:val="22"/>
        </w:rPr>
        <w:t>are</w:t>
      </w:r>
      <w:r w:rsidR="002F3531">
        <w:rPr>
          <w:sz w:val="22"/>
          <w:szCs w:val="22"/>
        </w:rPr>
        <w:t xml:space="preserve"> not limited (</w:t>
      </w:r>
      <w:r w:rsidR="00813B6E">
        <w:rPr>
          <w:sz w:val="22"/>
          <w:szCs w:val="22"/>
        </w:rPr>
        <w:t xml:space="preserve">i.e., </w:t>
      </w:r>
      <w:r w:rsidR="002F3531">
        <w:rPr>
          <w:sz w:val="22"/>
          <w:szCs w:val="22"/>
        </w:rPr>
        <w:t>8,760 hours/year).  [Rule 62-210.200(PTE), F.A.C.]</w:t>
      </w:r>
    </w:p>
    <w:p w:rsidR="00DE6A6E" w:rsidRPr="00A61FF4" w:rsidRDefault="00DE6A6E" w:rsidP="00DE6A6E">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Emissions Standards</w:t>
      </w:r>
    </w:p>
    <w:p w:rsidR="00A471E3" w:rsidRDefault="008C3F4D" w:rsidP="005271ED">
      <w:pPr>
        <w:numPr>
          <w:ilvl w:val="0"/>
          <w:numId w:val="9"/>
        </w:numPr>
        <w:suppressAutoHyphens/>
        <w:spacing w:after="120"/>
        <w:rPr>
          <w:sz w:val="22"/>
          <w:szCs w:val="22"/>
        </w:rPr>
      </w:pPr>
      <w:bookmarkStart w:id="2" w:name="_Ref505937120"/>
      <w:r>
        <w:rPr>
          <w:sz w:val="22"/>
          <w:szCs w:val="22"/>
          <w:u w:val="single"/>
        </w:rPr>
        <w:t xml:space="preserve">CO </w:t>
      </w:r>
      <w:r w:rsidR="00DE6A6E" w:rsidRPr="00845DA5">
        <w:rPr>
          <w:sz w:val="22"/>
          <w:szCs w:val="22"/>
          <w:u w:val="single"/>
        </w:rPr>
        <w:t>Emissions</w:t>
      </w:r>
      <w:r>
        <w:rPr>
          <w:sz w:val="22"/>
          <w:szCs w:val="22"/>
        </w:rPr>
        <w:t xml:space="preserve">: </w:t>
      </w:r>
      <w:r w:rsidR="007C0594">
        <w:rPr>
          <w:sz w:val="22"/>
          <w:szCs w:val="22"/>
        </w:rPr>
        <w:t xml:space="preserve"> </w:t>
      </w:r>
      <w:r w:rsidR="00C058FA">
        <w:rPr>
          <w:sz w:val="22"/>
          <w:szCs w:val="22"/>
        </w:rPr>
        <w:t xml:space="preserve">CO emissions </w:t>
      </w:r>
      <w:r w:rsidR="00DA7AE1">
        <w:rPr>
          <w:sz w:val="22"/>
          <w:szCs w:val="22"/>
        </w:rPr>
        <w:t xml:space="preserve">shall not exceed 23 parts per million by volume, dry, corrected to 15% oxygen, or CO emissions shall be reduced by 70% or more.  [Rule 62-204.800, F.A.C.; and </w:t>
      </w:r>
      <w:r w:rsidR="005035DF">
        <w:rPr>
          <w:sz w:val="22"/>
          <w:szCs w:val="22"/>
        </w:rPr>
        <w:t xml:space="preserve">40 CFR 63.6603(a) and </w:t>
      </w:r>
      <w:r w:rsidR="00DA7AE1" w:rsidRPr="00F779FD">
        <w:rPr>
          <w:sz w:val="22"/>
          <w:szCs w:val="22"/>
        </w:rPr>
        <w:t>Table 2d to Subpa</w:t>
      </w:r>
      <w:r w:rsidR="00F82278" w:rsidRPr="00F779FD">
        <w:rPr>
          <w:sz w:val="22"/>
          <w:szCs w:val="22"/>
        </w:rPr>
        <w:t>rt ZZZZ of Part 63</w:t>
      </w:r>
      <w:r w:rsidR="00DA7AE1" w:rsidRPr="00F779FD">
        <w:rPr>
          <w:sz w:val="22"/>
          <w:szCs w:val="22"/>
        </w:rPr>
        <w:t>]</w:t>
      </w:r>
      <w:bookmarkEnd w:id="2"/>
    </w:p>
    <w:p w:rsidR="00DE6A6E" w:rsidRPr="00A61FF4" w:rsidRDefault="00DE6A6E" w:rsidP="00DE6A6E">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Testing Requirements</w:t>
      </w:r>
    </w:p>
    <w:p w:rsidR="00DE6A6E" w:rsidRPr="00845DA5" w:rsidRDefault="00176CA2" w:rsidP="005271ED">
      <w:pPr>
        <w:numPr>
          <w:ilvl w:val="0"/>
          <w:numId w:val="9"/>
        </w:numPr>
        <w:spacing w:after="120"/>
        <w:rPr>
          <w:sz w:val="22"/>
          <w:szCs w:val="22"/>
        </w:rPr>
      </w:pPr>
      <w:bookmarkStart w:id="3" w:name="_Ref505935634"/>
      <w:r w:rsidRPr="00845DA5">
        <w:rPr>
          <w:sz w:val="22"/>
          <w:szCs w:val="22"/>
          <w:u w:val="single"/>
        </w:rPr>
        <w:t>Compliance Tests</w:t>
      </w:r>
      <w:r w:rsidRPr="00845DA5">
        <w:rPr>
          <w:sz w:val="22"/>
          <w:szCs w:val="22"/>
        </w:rPr>
        <w:t xml:space="preserve">:  </w:t>
      </w:r>
      <w:r w:rsidR="00BE0546">
        <w:rPr>
          <w:sz w:val="22"/>
          <w:szCs w:val="22"/>
        </w:rPr>
        <w:t xml:space="preserve">Every 8,760 operating hours or 3 years, whichever comes first, these engines </w:t>
      </w:r>
      <w:r w:rsidRPr="00845DA5">
        <w:rPr>
          <w:sz w:val="22"/>
          <w:szCs w:val="22"/>
        </w:rPr>
        <w:t xml:space="preserve">shall be tested to demonstrate compliance with the emissions standards for </w:t>
      </w:r>
      <w:r w:rsidR="00EB5CF2">
        <w:rPr>
          <w:sz w:val="22"/>
          <w:szCs w:val="22"/>
        </w:rPr>
        <w:t>CO</w:t>
      </w:r>
      <w:r w:rsidRPr="00845DA5">
        <w:rPr>
          <w:sz w:val="22"/>
          <w:szCs w:val="22"/>
        </w:rPr>
        <w:t xml:space="preserve">.  [Rule </w:t>
      </w:r>
      <w:r w:rsidR="00EB5CF2">
        <w:rPr>
          <w:sz w:val="22"/>
          <w:szCs w:val="22"/>
        </w:rPr>
        <w:t>62-204.800, F.A.C.; and 40 CFR 63.6615, and Table 3 to Subpart ZZZZ of Part 63</w:t>
      </w:r>
      <w:r w:rsidRPr="00845DA5">
        <w:rPr>
          <w:sz w:val="22"/>
          <w:szCs w:val="22"/>
        </w:rPr>
        <w:t>]</w:t>
      </w:r>
      <w:bookmarkEnd w:id="3"/>
    </w:p>
    <w:p w:rsidR="00DE6A6E" w:rsidRPr="00845DA5" w:rsidRDefault="00176CA2" w:rsidP="005271ED">
      <w:pPr>
        <w:numPr>
          <w:ilvl w:val="0"/>
          <w:numId w:val="9"/>
        </w:numPr>
        <w:spacing w:after="120"/>
        <w:rPr>
          <w:sz w:val="22"/>
          <w:szCs w:val="22"/>
        </w:rPr>
      </w:pPr>
      <w:bookmarkStart w:id="4" w:name="_Ref505938795"/>
      <w:r w:rsidRPr="0092390D">
        <w:rPr>
          <w:sz w:val="22"/>
          <w:szCs w:val="22"/>
          <w:u w:val="single"/>
        </w:rPr>
        <w:t>Test Requirements</w:t>
      </w:r>
      <w:r w:rsidRPr="0092390D">
        <w:rPr>
          <w:sz w:val="22"/>
          <w:szCs w:val="22"/>
        </w:rPr>
        <w:t xml:space="preserve">:  The </w:t>
      </w:r>
      <w:r w:rsidR="00932B5C" w:rsidRPr="0092390D">
        <w:rPr>
          <w:sz w:val="22"/>
          <w:szCs w:val="22"/>
        </w:rPr>
        <w:t>owner</w:t>
      </w:r>
      <w:r w:rsidR="00932B5C">
        <w:rPr>
          <w:sz w:val="22"/>
          <w:szCs w:val="22"/>
        </w:rPr>
        <w:t xml:space="preserve"> or operator</w:t>
      </w:r>
      <w:r w:rsidRPr="00845DA5">
        <w:rPr>
          <w:sz w:val="22"/>
          <w:szCs w:val="22"/>
        </w:rPr>
        <w:t xml:space="preserve"> shall notify the Compliance Authority in writing at least </w:t>
      </w:r>
      <w:r w:rsidR="00C85BEC">
        <w:rPr>
          <w:sz w:val="22"/>
          <w:szCs w:val="22"/>
        </w:rPr>
        <w:t>60</w:t>
      </w:r>
      <w:r w:rsidRPr="00845DA5">
        <w:rPr>
          <w:sz w:val="22"/>
          <w:szCs w:val="22"/>
        </w:rPr>
        <w:t xml:space="preserve"> days prior to any required </w:t>
      </w:r>
      <w:r w:rsidR="00C85BEC">
        <w:rPr>
          <w:sz w:val="22"/>
          <w:szCs w:val="22"/>
        </w:rPr>
        <w:t xml:space="preserve">performance </w:t>
      </w:r>
      <w:r w:rsidRPr="00845DA5">
        <w:rPr>
          <w:sz w:val="22"/>
          <w:szCs w:val="22"/>
        </w:rPr>
        <w:t xml:space="preserve">tests. </w:t>
      </w:r>
      <w:r>
        <w:rPr>
          <w:sz w:val="22"/>
          <w:szCs w:val="22"/>
        </w:rPr>
        <w:t xml:space="preserve"> Tests shall be conducted in accordance with the applicable requirements specified in </w:t>
      </w:r>
      <w:r w:rsidR="000E0C35">
        <w:rPr>
          <w:sz w:val="22"/>
          <w:szCs w:val="22"/>
        </w:rPr>
        <w:t>40 CFR 63, Subpart</w:t>
      </w:r>
      <w:r w:rsidR="00B2082D">
        <w:rPr>
          <w:sz w:val="22"/>
          <w:szCs w:val="22"/>
        </w:rPr>
        <w:t>s</w:t>
      </w:r>
      <w:r w:rsidR="000E0C35">
        <w:rPr>
          <w:sz w:val="22"/>
          <w:szCs w:val="22"/>
        </w:rPr>
        <w:t xml:space="preserve"> A</w:t>
      </w:r>
      <w:r w:rsidR="00B2082D">
        <w:rPr>
          <w:sz w:val="22"/>
          <w:szCs w:val="22"/>
        </w:rPr>
        <w:t xml:space="preserve"> and ZZZZ</w:t>
      </w:r>
      <w:r w:rsidR="000E0C35">
        <w:rPr>
          <w:sz w:val="22"/>
          <w:szCs w:val="22"/>
        </w:rPr>
        <w:t>, and any applicable test methods</w:t>
      </w:r>
      <w:r>
        <w:rPr>
          <w:sz w:val="22"/>
          <w:szCs w:val="22"/>
        </w:rPr>
        <w:t xml:space="preserve">.  </w:t>
      </w:r>
      <w:r w:rsidRPr="00845DA5">
        <w:rPr>
          <w:sz w:val="22"/>
          <w:szCs w:val="22"/>
        </w:rPr>
        <w:t>[Rule</w:t>
      </w:r>
      <w:r w:rsidR="00FA10C9">
        <w:rPr>
          <w:sz w:val="22"/>
          <w:szCs w:val="22"/>
        </w:rPr>
        <w:t>s 62-204.800 &amp;</w:t>
      </w:r>
      <w:r w:rsidRPr="00845DA5">
        <w:rPr>
          <w:sz w:val="22"/>
          <w:szCs w:val="22"/>
        </w:rPr>
        <w:t xml:space="preserve"> 62-297.310(</w:t>
      </w:r>
      <w:r w:rsidR="00FA10C9">
        <w:rPr>
          <w:sz w:val="22"/>
          <w:szCs w:val="22"/>
        </w:rPr>
        <w:t>1)</w:t>
      </w:r>
      <w:r w:rsidRPr="00845DA5">
        <w:rPr>
          <w:sz w:val="22"/>
          <w:szCs w:val="22"/>
        </w:rPr>
        <w:t>, F.A.C.</w:t>
      </w:r>
      <w:r w:rsidR="00FA10C9">
        <w:rPr>
          <w:sz w:val="22"/>
          <w:szCs w:val="22"/>
        </w:rPr>
        <w:t>; and 40 CFR 63.7</w:t>
      </w:r>
      <w:r w:rsidR="00B2082D">
        <w:rPr>
          <w:sz w:val="22"/>
          <w:szCs w:val="22"/>
        </w:rPr>
        <w:t xml:space="preserve"> and Table 4 to Subpart </w:t>
      </w:r>
      <w:r w:rsidR="00A6426F">
        <w:rPr>
          <w:sz w:val="22"/>
          <w:szCs w:val="22"/>
        </w:rPr>
        <w:t>ZZZZ of Part 63</w:t>
      </w:r>
      <w:r w:rsidRPr="00845DA5">
        <w:rPr>
          <w:sz w:val="22"/>
          <w:szCs w:val="22"/>
        </w:rPr>
        <w:t>]</w:t>
      </w:r>
      <w:bookmarkEnd w:id="4"/>
    </w:p>
    <w:p w:rsidR="00DE6A6E" w:rsidRDefault="00DE6A6E" w:rsidP="005271ED">
      <w:pPr>
        <w:numPr>
          <w:ilvl w:val="0"/>
          <w:numId w:val="9"/>
        </w:numPr>
        <w:spacing w:after="120"/>
        <w:rPr>
          <w:sz w:val="22"/>
          <w:szCs w:val="22"/>
        </w:rPr>
      </w:pPr>
      <w:r w:rsidRPr="00845DA5">
        <w:rPr>
          <w:sz w:val="22"/>
          <w:szCs w:val="22"/>
          <w:u w:val="single"/>
        </w:rPr>
        <w:t>Test Methods</w:t>
      </w:r>
      <w:r w:rsidRPr="00845DA5">
        <w:rPr>
          <w:sz w:val="22"/>
          <w:szCs w:val="22"/>
        </w:rPr>
        <w:t xml:space="preserve">:  Required tests shall be performed in accordance with </w:t>
      </w:r>
      <w:r>
        <w:rPr>
          <w:sz w:val="22"/>
          <w:szCs w:val="22"/>
        </w:rPr>
        <w:t>the following reference methods:</w:t>
      </w:r>
    </w:p>
    <w:tbl>
      <w:tblPr>
        <w:tblW w:w="9720" w:type="dxa"/>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03"/>
        <w:gridCol w:w="8517"/>
      </w:tblGrid>
      <w:tr w:rsidR="00DE6A6E" w:rsidRPr="006A5D1D" w:rsidTr="00336CCC">
        <w:trPr>
          <w:tblHeader/>
        </w:trPr>
        <w:tc>
          <w:tcPr>
            <w:tcW w:w="1203" w:type="dxa"/>
            <w:tcBorders>
              <w:top w:val="single" w:sz="12" w:space="0" w:color="auto"/>
              <w:left w:val="single" w:sz="12" w:space="0" w:color="auto"/>
              <w:bottom w:val="single" w:sz="12" w:space="0" w:color="auto"/>
              <w:right w:val="single" w:sz="4" w:space="0" w:color="auto"/>
            </w:tcBorders>
            <w:shd w:val="clear" w:color="auto" w:fill="BDD6EE" w:themeFill="accent1" w:themeFillTint="66"/>
          </w:tcPr>
          <w:p w:rsidR="00DE6A6E" w:rsidRPr="006A5D1D" w:rsidRDefault="00DE6A6E" w:rsidP="00DE6A6E">
            <w:pPr>
              <w:jc w:val="center"/>
              <w:rPr>
                <w:b/>
                <w:sz w:val="22"/>
                <w:szCs w:val="22"/>
              </w:rPr>
            </w:pPr>
            <w:r w:rsidRPr="006A5D1D">
              <w:rPr>
                <w:b/>
                <w:sz w:val="22"/>
                <w:szCs w:val="22"/>
              </w:rPr>
              <w:t>Method</w:t>
            </w:r>
          </w:p>
        </w:tc>
        <w:tc>
          <w:tcPr>
            <w:tcW w:w="8517" w:type="dxa"/>
            <w:tcBorders>
              <w:top w:val="single" w:sz="12" w:space="0" w:color="auto"/>
              <w:left w:val="single" w:sz="4" w:space="0" w:color="auto"/>
              <w:bottom w:val="single" w:sz="12" w:space="0" w:color="auto"/>
              <w:right w:val="single" w:sz="12" w:space="0" w:color="auto"/>
            </w:tcBorders>
            <w:shd w:val="clear" w:color="auto" w:fill="BDD6EE" w:themeFill="accent1" w:themeFillTint="66"/>
          </w:tcPr>
          <w:p w:rsidR="00DE6A6E" w:rsidRPr="006A5D1D" w:rsidRDefault="00DE6A6E" w:rsidP="00DE6A6E">
            <w:pPr>
              <w:rPr>
                <w:b/>
                <w:sz w:val="22"/>
                <w:szCs w:val="22"/>
              </w:rPr>
            </w:pPr>
            <w:r w:rsidRPr="006A5D1D">
              <w:rPr>
                <w:b/>
                <w:sz w:val="22"/>
                <w:szCs w:val="22"/>
              </w:rPr>
              <w:t>Description of Method and Comments</w:t>
            </w:r>
          </w:p>
        </w:tc>
      </w:tr>
      <w:tr w:rsidR="00DE6A6E" w:rsidRPr="006A5D1D" w:rsidTr="00E407BF">
        <w:tc>
          <w:tcPr>
            <w:tcW w:w="1203" w:type="dxa"/>
            <w:tcBorders>
              <w:top w:val="single" w:sz="12" w:space="0" w:color="auto"/>
              <w:left w:val="single" w:sz="12" w:space="0" w:color="auto"/>
              <w:bottom w:val="single" w:sz="4" w:space="0" w:color="auto"/>
              <w:right w:val="single" w:sz="4" w:space="0" w:color="auto"/>
            </w:tcBorders>
            <w:vAlign w:val="center"/>
          </w:tcPr>
          <w:p w:rsidR="00DE6A6E" w:rsidRPr="00AF2813" w:rsidRDefault="00DE6A6E" w:rsidP="00E407BF">
            <w:pPr>
              <w:jc w:val="center"/>
              <w:rPr>
                <w:sz w:val="22"/>
                <w:szCs w:val="22"/>
              </w:rPr>
            </w:pPr>
            <w:r w:rsidRPr="00AF2813">
              <w:rPr>
                <w:sz w:val="22"/>
                <w:szCs w:val="22"/>
              </w:rPr>
              <w:t>1-4</w:t>
            </w:r>
          </w:p>
        </w:tc>
        <w:tc>
          <w:tcPr>
            <w:tcW w:w="8517" w:type="dxa"/>
            <w:tcBorders>
              <w:top w:val="single" w:sz="12" w:space="0" w:color="auto"/>
              <w:left w:val="single" w:sz="4" w:space="0" w:color="auto"/>
              <w:bottom w:val="single" w:sz="4" w:space="0" w:color="auto"/>
              <w:right w:val="single" w:sz="12" w:space="0" w:color="auto"/>
            </w:tcBorders>
            <w:vAlign w:val="center"/>
          </w:tcPr>
          <w:p w:rsidR="00DE6A6E" w:rsidRPr="00AF2813" w:rsidRDefault="00DE6A6E" w:rsidP="00E407BF">
            <w:pPr>
              <w:rPr>
                <w:sz w:val="22"/>
                <w:szCs w:val="22"/>
              </w:rPr>
            </w:pPr>
            <w:r w:rsidRPr="00AF2813">
              <w:rPr>
                <w:sz w:val="22"/>
                <w:szCs w:val="22"/>
              </w:rPr>
              <w:t>Traverse Points, Velocity and Flow Rate, Gas Analysis, and Moisture Content</w:t>
            </w:r>
          </w:p>
        </w:tc>
      </w:tr>
      <w:tr w:rsidR="00E407BF" w:rsidRPr="006A5D1D" w:rsidTr="00E407BF">
        <w:trPr>
          <w:trHeight w:val="225"/>
        </w:trPr>
        <w:tc>
          <w:tcPr>
            <w:tcW w:w="1203" w:type="dxa"/>
            <w:tcBorders>
              <w:top w:val="single" w:sz="4" w:space="0" w:color="auto"/>
              <w:left w:val="single" w:sz="12" w:space="0" w:color="auto"/>
              <w:bottom w:val="single" w:sz="4" w:space="0" w:color="auto"/>
              <w:right w:val="single" w:sz="4" w:space="0" w:color="auto"/>
            </w:tcBorders>
            <w:vAlign w:val="center"/>
          </w:tcPr>
          <w:p w:rsidR="00E407BF" w:rsidRPr="00E407BF" w:rsidRDefault="00E407BF" w:rsidP="00E407BF">
            <w:pPr>
              <w:jc w:val="center"/>
              <w:rPr>
                <w:sz w:val="22"/>
                <w:szCs w:val="22"/>
              </w:rPr>
            </w:pPr>
            <w:r>
              <w:rPr>
                <w:sz w:val="22"/>
                <w:szCs w:val="22"/>
              </w:rPr>
              <w:t>ASTM D6522-00</w:t>
            </w:r>
          </w:p>
        </w:tc>
        <w:tc>
          <w:tcPr>
            <w:tcW w:w="8517" w:type="dxa"/>
            <w:tcBorders>
              <w:top w:val="single" w:sz="4" w:space="0" w:color="auto"/>
              <w:left w:val="single" w:sz="4" w:space="0" w:color="auto"/>
              <w:bottom w:val="single" w:sz="4" w:space="0" w:color="auto"/>
              <w:right w:val="single" w:sz="12" w:space="0" w:color="auto"/>
            </w:tcBorders>
            <w:vAlign w:val="center"/>
          </w:tcPr>
          <w:p w:rsidR="00E407BF" w:rsidRPr="00E407BF" w:rsidRDefault="00477782" w:rsidP="00E407BF">
            <w:pPr>
              <w:rPr>
                <w:sz w:val="22"/>
                <w:szCs w:val="22"/>
              </w:rPr>
            </w:pPr>
            <w:r>
              <w:rPr>
                <w:sz w:val="22"/>
                <w:szCs w:val="22"/>
              </w:rPr>
              <w:t>Standard Test Method for Determination of Nitrogen Oxides, Carbon Monoxide, and Oxygen Concentrations in Emission from Natural Gas-Fired Reciprocating Engines, Combustion Turbines, Boilers, and Process Heaters Using Portable Analyzers</w:t>
            </w:r>
            <w:r w:rsidR="001D510B">
              <w:rPr>
                <w:sz w:val="22"/>
                <w:szCs w:val="22"/>
              </w:rPr>
              <w:t xml:space="preserve"> (heated probe not necessary)</w:t>
            </w:r>
          </w:p>
        </w:tc>
      </w:tr>
      <w:tr w:rsidR="00DE6A6E" w:rsidRPr="006A5D1D" w:rsidTr="00E407BF">
        <w:trPr>
          <w:trHeight w:val="225"/>
        </w:trPr>
        <w:tc>
          <w:tcPr>
            <w:tcW w:w="1203" w:type="dxa"/>
            <w:tcBorders>
              <w:top w:val="single" w:sz="4" w:space="0" w:color="auto"/>
              <w:left w:val="single" w:sz="12" w:space="0" w:color="auto"/>
              <w:bottom w:val="single" w:sz="12" w:space="0" w:color="auto"/>
              <w:right w:val="single" w:sz="4" w:space="0" w:color="auto"/>
            </w:tcBorders>
            <w:vAlign w:val="center"/>
          </w:tcPr>
          <w:p w:rsidR="00DE6A6E" w:rsidRPr="00E407BF" w:rsidRDefault="00DE6A6E" w:rsidP="00E407BF">
            <w:pPr>
              <w:jc w:val="center"/>
              <w:rPr>
                <w:sz w:val="22"/>
                <w:szCs w:val="22"/>
              </w:rPr>
            </w:pPr>
            <w:r w:rsidRPr="00E407BF">
              <w:rPr>
                <w:sz w:val="22"/>
                <w:szCs w:val="22"/>
              </w:rPr>
              <w:t>10</w:t>
            </w:r>
          </w:p>
        </w:tc>
        <w:tc>
          <w:tcPr>
            <w:tcW w:w="8517" w:type="dxa"/>
            <w:tcBorders>
              <w:top w:val="single" w:sz="4" w:space="0" w:color="auto"/>
              <w:left w:val="single" w:sz="4" w:space="0" w:color="auto"/>
              <w:bottom w:val="single" w:sz="12" w:space="0" w:color="auto"/>
              <w:right w:val="single" w:sz="12" w:space="0" w:color="auto"/>
            </w:tcBorders>
            <w:vAlign w:val="center"/>
          </w:tcPr>
          <w:p w:rsidR="00DE6A6E" w:rsidRPr="00E407BF" w:rsidRDefault="00DE6A6E" w:rsidP="00E407BF">
            <w:pPr>
              <w:rPr>
                <w:sz w:val="22"/>
                <w:szCs w:val="22"/>
              </w:rPr>
            </w:pPr>
            <w:r w:rsidRPr="00E407BF">
              <w:rPr>
                <w:sz w:val="22"/>
                <w:szCs w:val="22"/>
              </w:rPr>
              <w:t>Determination of Carbon Monoxide Emissions from Stationary Sources (Continuous Sampling Train)</w:t>
            </w:r>
          </w:p>
        </w:tc>
      </w:tr>
    </w:tbl>
    <w:p w:rsidR="00DE6A6E" w:rsidRPr="00845DA5" w:rsidRDefault="00DE6A6E" w:rsidP="00185E85">
      <w:pPr>
        <w:spacing w:before="120" w:after="120"/>
        <w:ind w:left="360"/>
        <w:rPr>
          <w:sz w:val="22"/>
          <w:szCs w:val="22"/>
        </w:rPr>
      </w:pPr>
      <w:r w:rsidRPr="00845DA5">
        <w:rPr>
          <w:sz w:val="22"/>
          <w:szCs w:val="22"/>
        </w:rPr>
        <w:t xml:space="preserve">The above methods are described in Appendix A </w:t>
      </w:r>
      <w:r>
        <w:rPr>
          <w:sz w:val="22"/>
          <w:szCs w:val="22"/>
        </w:rPr>
        <w:t xml:space="preserve">of </w:t>
      </w:r>
      <w:r w:rsidRPr="00845DA5">
        <w:rPr>
          <w:sz w:val="22"/>
          <w:szCs w:val="22"/>
        </w:rPr>
        <w:t xml:space="preserve">40 CFR 60 </w:t>
      </w:r>
      <w:r w:rsidR="00306B4A">
        <w:rPr>
          <w:sz w:val="22"/>
          <w:szCs w:val="22"/>
        </w:rPr>
        <w:t xml:space="preserve">and Table 4 to Subpart ZZZZ of Part 63, </w:t>
      </w:r>
      <w:r w:rsidRPr="00845DA5">
        <w:rPr>
          <w:sz w:val="22"/>
          <w:szCs w:val="22"/>
        </w:rPr>
        <w:t xml:space="preserve">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[Rules 62-204.800, F.A.C.; </w:t>
      </w:r>
      <w:r>
        <w:rPr>
          <w:sz w:val="22"/>
          <w:szCs w:val="22"/>
        </w:rPr>
        <w:t xml:space="preserve">and Appendix A of </w:t>
      </w:r>
      <w:r w:rsidRPr="00845DA5">
        <w:rPr>
          <w:sz w:val="22"/>
          <w:szCs w:val="22"/>
        </w:rPr>
        <w:t>40 CFR 60</w:t>
      </w:r>
      <w:r w:rsidR="00306B4A">
        <w:rPr>
          <w:sz w:val="22"/>
          <w:szCs w:val="22"/>
        </w:rPr>
        <w:t xml:space="preserve"> and Table 4 to Subpart ZZZZ of Part 63</w:t>
      </w:r>
      <w:r w:rsidRPr="00845DA5">
        <w:rPr>
          <w:sz w:val="22"/>
          <w:szCs w:val="22"/>
        </w:rPr>
        <w:t>]</w:t>
      </w:r>
    </w:p>
    <w:p w:rsidR="00DE6A6E" w:rsidRDefault="00DE6A6E" w:rsidP="00DE6A6E">
      <w:pPr>
        <w:spacing w:before="120" w:after="120"/>
        <w:rPr>
          <w:b/>
          <w:bCs/>
          <w:caps/>
          <w:sz w:val="22"/>
          <w:szCs w:val="22"/>
        </w:rPr>
      </w:pPr>
      <w:r>
        <w:rPr>
          <w:b/>
          <w:bCs/>
          <w:caps/>
          <w:sz w:val="22"/>
          <w:szCs w:val="22"/>
        </w:rPr>
        <w:t>Monitoring Requirements</w:t>
      </w:r>
    </w:p>
    <w:p w:rsidR="00DE6A6E" w:rsidRPr="00737A33" w:rsidRDefault="007E37DB" w:rsidP="005271ED">
      <w:pPr>
        <w:numPr>
          <w:ilvl w:val="0"/>
          <w:numId w:val="9"/>
        </w:numPr>
        <w:rPr>
          <w:bCs/>
          <w:sz w:val="22"/>
          <w:szCs w:val="22"/>
        </w:rPr>
      </w:pPr>
      <w:bookmarkStart w:id="5" w:name="_Ref505939550"/>
      <w:r>
        <w:rPr>
          <w:sz w:val="22"/>
          <w:szCs w:val="22"/>
          <w:u w:val="single"/>
        </w:rPr>
        <w:t>Continuous Parameter Monitoring Systems</w:t>
      </w:r>
      <w:r w:rsidR="00DE6A6E">
        <w:rPr>
          <w:sz w:val="22"/>
          <w:szCs w:val="22"/>
        </w:rPr>
        <w:t xml:space="preserve">:  The </w:t>
      </w:r>
      <w:r w:rsidR="00985984">
        <w:rPr>
          <w:sz w:val="22"/>
          <w:szCs w:val="22"/>
        </w:rPr>
        <w:t>owner or operator</w:t>
      </w:r>
      <w:r w:rsidR="00DE6A6E">
        <w:rPr>
          <w:sz w:val="22"/>
          <w:szCs w:val="22"/>
        </w:rPr>
        <w:t xml:space="preserve"> </w:t>
      </w:r>
      <w:r w:rsidR="00DE6A6E" w:rsidRPr="007E37DB">
        <w:rPr>
          <w:sz w:val="22"/>
          <w:szCs w:val="22"/>
        </w:rPr>
        <w:t xml:space="preserve">shall </w:t>
      </w:r>
      <w:r w:rsidRPr="007E37DB">
        <w:rPr>
          <w:sz w:val="22"/>
          <w:szCs w:val="22"/>
        </w:rPr>
        <w:t>install and operate a CPMS</w:t>
      </w:r>
      <w:r w:rsidR="000C4E7D">
        <w:rPr>
          <w:sz w:val="22"/>
          <w:szCs w:val="22"/>
        </w:rPr>
        <w:t xml:space="preserve"> to monitor </w:t>
      </w:r>
      <w:r w:rsidR="00737A33">
        <w:rPr>
          <w:sz w:val="22"/>
          <w:szCs w:val="22"/>
        </w:rPr>
        <w:t xml:space="preserve">the oxidation catalyst according </w:t>
      </w:r>
      <w:r w:rsidR="00C10C63">
        <w:rPr>
          <w:sz w:val="22"/>
          <w:szCs w:val="22"/>
        </w:rPr>
        <w:t>to the following requirements.</w:t>
      </w:r>
      <w:bookmarkEnd w:id="5"/>
    </w:p>
    <w:p w:rsidR="00737A33" w:rsidRDefault="00A43CD9" w:rsidP="005271ED">
      <w:pPr>
        <w:pStyle w:val="ListParagraph"/>
        <w:numPr>
          <w:ilvl w:val="0"/>
          <w:numId w:val="10"/>
        </w:numPr>
        <w:spacing w:after="120"/>
        <w:ind w:left="720"/>
        <w:rPr>
          <w:bCs/>
          <w:sz w:val="22"/>
          <w:szCs w:val="22"/>
        </w:rPr>
      </w:pPr>
      <w:r>
        <w:rPr>
          <w:bCs/>
          <w:i/>
          <w:sz w:val="22"/>
          <w:szCs w:val="22"/>
        </w:rPr>
        <w:t>Site-Specific Monitoring Plan</w:t>
      </w:r>
      <w:r>
        <w:rPr>
          <w:bCs/>
          <w:sz w:val="22"/>
          <w:szCs w:val="22"/>
        </w:rPr>
        <w:t xml:space="preserve">.  </w:t>
      </w:r>
      <w:r w:rsidR="0021432D">
        <w:rPr>
          <w:bCs/>
          <w:sz w:val="22"/>
          <w:szCs w:val="22"/>
        </w:rPr>
        <w:t xml:space="preserve">The owner or operator must prepare a site-specific monitoring plan that addresses the monitoring system design, data collection, and the quality assurance and quality control </w:t>
      </w:r>
      <w:r w:rsidR="0021432D" w:rsidRPr="001C2957">
        <w:rPr>
          <w:bCs/>
          <w:sz w:val="22"/>
          <w:szCs w:val="22"/>
        </w:rPr>
        <w:t xml:space="preserve">elements </w:t>
      </w:r>
      <w:r w:rsidR="0015384A" w:rsidRPr="001C2957">
        <w:rPr>
          <w:bCs/>
          <w:sz w:val="22"/>
          <w:szCs w:val="22"/>
        </w:rPr>
        <w:t xml:space="preserve">outlined in subparagraphs </w:t>
      </w:r>
      <w:r w:rsidR="001C2957" w:rsidRPr="001C2957">
        <w:rPr>
          <w:bCs/>
          <w:sz w:val="22"/>
          <w:szCs w:val="22"/>
        </w:rPr>
        <w:fldChar w:fldCharType="begin"/>
      </w:r>
      <w:r w:rsidR="001C2957" w:rsidRPr="001C2957">
        <w:rPr>
          <w:bCs/>
          <w:sz w:val="22"/>
          <w:szCs w:val="22"/>
        </w:rPr>
        <w:instrText xml:space="preserve"> REF _Ref505935755 \r \h </w:instrText>
      </w:r>
      <w:r w:rsidR="001C2957">
        <w:rPr>
          <w:bCs/>
          <w:sz w:val="22"/>
          <w:szCs w:val="22"/>
        </w:rPr>
        <w:instrText xml:space="preserve"> \* MERGEFORMAT </w:instrText>
      </w:r>
      <w:r w:rsidR="001C2957" w:rsidRPr="001C2957">
        <w:rPr>
          <w:bCs/>
          <w:sz w:val="22"/>
          <w:szCs w:val="22"/>
        </w:rPr>
      </w:r>
      <w:r w:rsidR="001C2957" w:rsidRPr="001C2957">
        <w:rPr>
          <w:bCs/>
          <w:sz w:val="22"/>
          <w:szCs w:val="22"/>
        </w:rPr>
        <w:fldChar w:fldCharType="separate"/>
      </w:r>
      <w:r w:rsidR="003564EB">
        <w:rPr>
          <w:bCs/>
          <w:sz w:val="22"/>
          <w:szCs w:val="22"/>
        </w:rPr>
        <w:t>(1)</w:t>
      </w:r>
      <w:r w:rsidR="001C2957" w:rsidRPr="001C2957">
        <w:rPr>
          <w:bCs/>
          <w:sz w:val="22"/>
          <w:szCs w:val="22"/>
        </w:rPr>
        <w:fldChar w:fldCharType="end"/>
      </w:r>
      <w:r w:rsidR="001C2957" w:rsidRPr="001C2957">
        <w:rPr>
          <w:bCs/>
          <w:sz w:val="22"/>
          <w:szCs w:val="22"/>
        </w:rPr>
        <w:t xml:space="preserve"> through </w:t>
      </w:r>
      <w:r w:rsidR="001C2957" w:rsidRPr="001C2957">
        <w:rPr>
          <w:bCs/>
          <w:sz w:val="22"/>
          <w:szCs w:val="22"/>
        </w:rPr>
        <w:fldChar w:fldCharType="begin"/>
      </w:r>
      <w:r w:rsidR="001C2957" w:rsidRPr="001C2957">
        <w:rPr>
          <w:bCs/>
          <w:sz w:val="22"/>
          <w:szCs w:val="22"/>
        </w:rPr>
        <w:instrText xml:space="preserve"> REF _Ref505935748 \r \h </w:instrText>
      </w:r>
      <w:r w:rsidR="001C2957">
        <w:rPr>
          <w:bCs/>
          <w:sz w:val="22"/>
          <w:szCs w:val="22"/>
        </w:rPr>
        <w:instrText xml:space="preserve"> \* MERGEFORMAT </w:instrText>
      </w:r>
      <w:r w:rsidR="001C2957" w:rsidRPr="001C2957">
        <w:rPr>
          <w:bCs/>
          <w:sz w:val="22"/>
          <w:szCs w:val="22"/>
        </w:rPr>
      </w:r>
      <w:r w:rsidR="001C2957" w:rsidRPr="001C2957">
        <w:rPr>
          <w:bCs/>
          <w:sz w:val="22"/>
          <w:szCs w:val="22"/>
        </w:rPr>
        <w:fldChar w:fldCharType="separate"/>
      </w:r>
      <w:r w:rsidR="003564EB">
        <w:rPr>
          <w:bCs/>
          <w:sz w:val="22"/>
          <w:szCs w:val="22"/>
        </w:rPr>
        <w:t>(4)</w:t>
      </w:r>
      <w:r w:rsidR="001C2957" w:rsidRPr="001C2957">
        <w:rPr>
          <w:bCs/>
          <w:sz w:val="22"/>
          <w:szCs w:val="22"/>
        </w:rPr>
        <w:fldChar w:fldCharType="end"/>
      </w:r>
      <w:r w:rsidR="0015384A" w:rsidRPr="001C2957">
        <w:rPr>
          <w:bCs/>
          <w:sz w:val="22"/>
          <w:szCs w:val="22"/>
        </w:rPr>
        <w:t>.</w:t>
      </w:r>
    </w:p>
    <w:p w:rsidR="0015384A" w:rsidRDefault="0015384A" w:rsidP="005271ED">
      <w:pPr>
        <w:pStyle w:val="ListParagraph"/>
        <w:numPr>
          <w:ilvl w:val="0"/>
          <w:numId w:val="13"/>
        </w:numPr>
        <w:spacing w:after="120"/>
        <w:ind w:left="1080"/>
        <w:rPr>
          <w:bCs/>
          <w:sz w:val="22"/>
          <w:szCs w:val="22"/>
        </w:rPr>
      </w:pPr>
      <w:bookmarkStart w:id="6" w:name="_Ref505935755"/>
      <w:r>
        <w:rPr>
          <w:bCs/>
          <w:sz w:val="22"/>
          <w:szCs w:val="22"/>
        </w:rPr>
        <w:t>The performance criteria and design specifications for the monitoring system equipment, including the sample interface, detector signal analyzer, and data acquisition and calculations;</w:t>
      </w:r>
      <w:bookmarkEnd w:id="6"/>
    </w:p>
    <w:p w:rsidR="0015384A" w:rsidRDefault="0015384A" w:rsidP="005271ED">
      <w:pPr>
        <w:pStyle w:val="ListParagraph"/>
        <w:numPr>
          <w:ilvl w:val="0"/>
          <w:numId w:val="13"/>
        </w:numPr>
        <w:spacing w:after="120"/>
        <w:ind w:left="1080"/>
        <w:rPr>
          <w:bCs/>
          <w:sz w:val="22"/>
          <w:szCs w:val="22"/>
        </w:rPr>
      </w:pPr>
      <w:r>
        <w:rPr>
          <w:bCs/>
          <w:sz w:val="22"/>
          <w:szCs w:val="22"/>
        </w:rPr>
        <w:t>Sampling interface (e.g., thermocouple) location such that the monitoring system will provide representative measurements;</w:t>
      </w:r>
    </w:p>
    <w:p w:rsidR="0015384A" w:rsidRDefault="0015384A" w:rsidP="005271ED">
      <w:pPr>
        <w:pStyle w:val="ListParagraph"/>
        <w:numPr>
          <w:ilvl w:val="0"/>
          <w:numId w:val="13"/>
        </w:numPr>
        <w:spacing w:after="120"/>
        <w:ind w:left="1080"/>
        <w:rPr>
          <w:bCs/>
          <w:sz w:val="22"/>
          <w:szCs w:val="22"/>
        </w:rPr>
      </w:pPr>
      <w:r>
        <w:rPr>
          <w:bCs/>
          <w:sz w:val="22"/>
          <w:szCs w:val="22"/>
        </w:rPr>
        <w:t>Equipment performance evaluations, system accuracy audits, or other audit procedures;</w:t>
      </w:r>
      <w:r w:rsidR="002829CC">
        <w:rPr>
          <w:bCs/>
          <w:sz w:val="22"/>
          <w:szCs w:val="22"/>
        </w:rPr>
        <w:t xml:space="preserve"> and</w:t>
      </w:r>
    </w:p>
    <w:p w:rsidR="0015384A" w:rsidRDefault="0015384A" w:rsidP="005271ED">
      <w:pPr>
        <w:pStyle w:val="ListParagraph"/>
        <w:numPr>
          <w:ilvl w:val="0"/>
          <w:numId w:val="13"/>
        </w:numPr>
        <w:spacing w:after="120"/>
        <w:ind w:left="1080"/>
        <w:rPr>
          <w:bCs/>
          <w:sz w:val="22"/>
          <w:szCs w:val="22"/>
        </w:rPr>
      </w:pPr>
      <w:bookmarkStart w:id="7" w:name="_Ref505935748"/>
      <w:r>
        <w:rPr>
          <w:bCs/>
          <w:sz w:val="22"/>
          <w:szCs w:val="22"/>
        </w:rPr>
        <w:t>Ongoing operation and maintenance procedures in accordance with the following provisions:</w:t>
      </w:r>
      <w:bookmarkEnd w:id="7"/>
    </w:p>
    <w:p w:rsidR="0015384A" w:rsidRDefault="001C2957" w:rsidP="005271ED">
      <w:pPr>
        <w:pStyle w:val="ListParagraph"/>
        <w:numPr>
          <w:ilvl w:val="0"/>
          <w:numId w:val="14"/>
        </w:numPr>
        <w:spacing w:after="120"/>
        <w:ind w:left="1440"/>
        <w:rPr>
          <w:bCs/>
          <w:sz w:val="22"/>
          <w:szCs w:val="22"/>
        </w:rPr>
      </w:pPr>
      <w:r>
        <w:rPr>
          <w:bCs/>
          <w:sz w:val="22"/>
          <w:szCs w:val="22"/>
        </w:rPr>
        <w:t>The owner or operator must keep the necessary parts for routine repairs of the affected CPMS equipment readily available.</w:t>
      </w:r>
    </w:p>
    <w:p w:rsidR="001C2957" w:rsidRPr="001C2957" w:rsidRDefault="001C2957" w:rsidP="005271ED">
      <w:pPr>
        <w:pStyle w:val="ListParagraph"/>
        <w:numPr>
          <w:ilvl w:val="0"/>
          <w:numId w:val="14"/>
        </w:numPr>
        <w:spacing w:after="120"/>
        <w:ind w:left="1440"/>
        <w:rPr>
          <w:bCs/>
          <w:sz w:val="22"/>
          <w:szCs w:val="22"/>
        </w:rPr>
      </w:pPr>
      <w:r>
        <w:rPr>
          <w:bCs/>
          <w:sz w:val="22"/>
          <w:szCs w:val="22"/>
        </w:rPr>
        <w:t xml:space="preserve">All CPMS shall be installed, operational, and the data verified in conjunction with conducting performance tests as required in Condition </w:t>
      </w:r>
      <w:r w:rsidRPr="001C2957">
        <w:rPr>
          <w:b/>
          <w:bCs/>
          <w:sz w:val="22"/>
          <w:szCs w:val="22"/>
        </w:rPr>
        <w:fldChar w:fldCharType="begin"/>
      </w:r>
      <w:r w:rsidRPr="001C2957">
        <w:rPr>
          <w:b/>
          <w:bCs/>
          <w:sz w:val="22"/>
          <w:szCs w:val="22"/>
        </w:rPr>
        <w:instrText xml:space="preserve"> REF _Ref505935634 \r \h </w:instrText>
      </w:r>
      <w:r>
        <w:rPr>
          <w:b/>
          <w:bCs/>
          <w:sz w:val="22"/>
          <w:szCs w:val="22"/>
        </w:rPr>
        <w:instrText xml:space="preserve"> \* MERGEFORMAT </w:instrText>
      </w:r>
      <w:r w:rsidRPr="001C2957">
        <w:rPr>
          <w:b/>
          <w:bCs/>
          <w:sz w:val="22"/>
          <w:szCs w:val="22"/>
        </w:rPr>
      </w:r>
      <w:r w:rsidRPr="001C2957">
        <w:rPr>
          <w:b/>
          <w:bCs/>
          <w:sz w:val="22"/>
          <w:szCs w:val="22"/>
        </w:rPr>
        <w:fldChar w:fldCharType="separate"/>
      </w:r>
      <w:r w:rsidR="003564EB">
        <w:rPr>
          <w:b/>
          <w:bCs/>
          <w:sz w:val="22"/>
          <w:szCs w:val="22"/>
        </w:rPr>
        <w:t>6</w:t>
      </w:r>
      <w:r w:rsidRPr="001C2957">
        <w:rPr>
          <w:b/>
          <w:bCs/>
          <w:sz w:val="22"/>
          <w:szCs w:val="22"/>
        </w:rPr>
        <w:fldChar w:fldCharType="end"/>
      </w:r>
      <w:r>
        <w:rPr>
          <w:bCs/>
          <w:sz w:val="22"/>
          <w:szCs w:val="22"/>
        </w:rPr>
        <w:t xml:space="preserve"> of this section.  Verification of operational status shall, at a minimum, include completion of the manufacturer’s written specifications or recommendations for installation, operation, and calibration of the system.</w:t>
      </w:r>
    </w:p>
    <w:p w:rsidR="007775C7" w:rsidRDefault="007775C7" w:rsidP="005271ED">
      <w:pPr>
        <w:pStyle w:val="ListParagraph"/>
        <w:numPr>
          <w:ilvl w:val="0"/>
          <w:numId w:val="10"/>
        </w:numPr>
        <w:spacing w:after="120"/>
        <w:ind w:left="720"/>
        <w:rPr>
          <w:bCs/>
          <w:sz w:val="22"/>
          <w:szCs w:val="22"/>
        </w:rPr>
      </w:pPr>
      <w:r>
        <w:rPr>
          <w:bCs/>
          <w:i/>
          <w:sz w:val="22"/>
          <w:szCs w:val="22"/>
        </w:rPr>
        <w:t>CPMS Installation</w:t>
      </w:r>
      <w:r>
        <w:rPr>
          <w:bCs/>
          <w:sz w:val="22"/>
          <w:szCs w:val="22"/>
        </w:rPr>
        <w:t xml:space="preserve">.  </w:t>
      </w:r>
      <w:r w:rsidR="0057657D">
        <w:rPr>
          <w:bCs/>
          <w:sz w:val="22"/>
          <w:szCs w:val="22"/>
        </w:rPr>
        <w:t>The owner or operator must install, operate, and maintain each CPMS in continuous operation according to the procedures in the site-specific monitoring plan.</w:t>
      </w:r>
    </w:p>
    <w:p w:rsidR="0057657D" w:rsidRDefault="0057657D" w:rsidP="005271ED">
      <w:pPr>
        <w:pStyle w:val="ListParagraph"/>
        <w:numPr>
          <w:ilvl w:val="0"/>
          <w:numId w:val="10"/>
        </w:numPr>
        <w:spacing w:after="120"/>
        <w:ind w:left="720"/>
        <w:rPr>
          <w:bCs/>
          <w:sz w:val="22"/>
          <w:szCs w:val="22"/>
        </w:rPr>
      </w:pPr>
      <w:r>
        <w:rPr>
          <w:bCs/>
          <w:i/>
          <w:sz w:val="22"/>
          <w:szCs w:val="22"/>
        </w:rPr>
        <w:t>Data Collection</w:t>
      </w:r>
      <w:r>
        <w:rPr>
          <w:bCs/>
          <w:sz w:val="22"/>
          <w:szCs w:val="22"/>
        </w:rPr>
        <w:t xml:space="preserve">.  The CPMS must collect data at least once every 15 minutes.  </w:t>
      </w:r>
      <w:r w:rsidR="00882B0C">
        <w:rPr>
          <w:bCs/>
          <w:sz w:val="22"/>
          <w:szCs w:val="22"/>
        </w:rPr>
        <w:t xml:space="preserve">Except for monitor malfunctions, associated repairs, required performance evaluations, and required quality assurance or control activities, the CPMS must monitor continuously </w:t>
      </w:r>
      <w:proofErr w:type="gramStart"/>
      <w:r w:rsidR="00882B0C">
        <w:rPr>
          <w:bCs/>
          <w:sz w:val="22"/>
          <w:szCs w:val="22"/>
        </w:rPr>
        <w:t>at all times</w:t>
      </w:r>
      <w:proofErr w:type="gramEnd"/>
      <w:r w:rsidR="00882B0C">
        <w:rPr>
          <w:bCs/>
          <w:sz w:val="22"/>
          <w:szCs w:val="22"/>
        </w:rPr>
        <w:t xml:space="preserve"> that the stationary RICE is operating.  A monitoring malfunction is any sudden, infrequent, not reasonably preventable failure of the monitoring to provide valid data.  Monitoring failures that are caused in part by poor maintenance or careless operation are not malfunctions.  The owner or operator may not use data recorded during monitoring malfunctions, associated repairs, and required quality assurance or control activities in data averages and calculations used to report emission or operating levels.</w:t>
      </w:r>
    </w:p>
    <w:p w:rsidR="0057657D" w:rsidRDefault="00B9165A" w:rsidP="005271ED">
      <w:pPr>
        <w:pStyle w:val="ListParagraph"/>
        <w:numPr>
          <w:ilvl w:val="0"/>
          <w:numId w:val="10"/>
        </w:numPr>
        <w:spacing w:after="120"/>
        <w:ind w:left="720"/>
        <w:rPr>
          <w:bCs/>
          <w:sz w:val="22"/>
          <w:szCs w:val="22"/>
        </w:rPr>
      </w:pPr>
      <w:bookmarkStart w:id="8" w:name="_Ref505939555"/>
      <w:r>
        <w:rPr>
          <w:bCs/>
          <w:i/>
          <w:sz w:val="22"/>
          <w:szCs w:val="22"/>
        </w:rPr>
        <w:t>Temperature CPMS</w:t>
      </w:r>
      <w:r>
        <w:rPr>
          <w:bCs/>
          <w:sz w:val="22"/>
          <w:szCs w:val="22"/>
        </w:rPr>
        <w:t xml:space="preserve">.  </w:t>
      </w:r>
      <w:r w:rsidR="006E699A">
        <w:rPr>
          <w:bCs/>
          <w:sz w:val="22"/>
          <w:szCs w:val="22"/>
        </w:rPr>
        <w:t xml:space="preserve">For a CPMS measuring </w:t>
      </w:r>
      <w:r w:rsidR="00580BC1">
        <w:rPr>
          <w:bCs/>
          <w:sz w:val="22"/>
          <w:szCs w:val="22"/>
        </w:rPr>
        <w:t>temperature range, the temperature sensor must have a minimum tolerance of 2.8 degrees Celsius (5 degrees Fahrenheit) or 1% of the measurement range, whichever is larger.</w:t>
      </w:r>
      <w:bookmarkEnd w:id="8"/>
    </w:p>
    <w:p w:rsidR="00580BC1" w:rsidRDefault="00580BC1" w:rsidP="005271ED">
      <w:pPr>
        <w:pStyle w:val="ListParagraph"/>
        <w:numPr>
          <w:ilvl w:val="0"/>
          <w:numId w:val="10"/>
        </w:numPr>
        <w:ind w:left="720"/>
        <w:rPr>
          <w:bCs/>
          <w:sz w:val="22"/>
          <w:szCs w:val="22"/>
        </w:rPr>
      </w:pPr>
      <w:r>
        <w:rPr>
          <w:bCs/>
          <w:i/>
          <w:sz w:val="22"/>
          <w:szCs w:val="22"/>
        </w:rPr>
        <w:t>CPMS Performance Evaluations</w:t>
      </w:r>
      <w:r>
        <w:rPr>
          <w:bCs/>
          <w:sz w:val="22"/>
          <w:szCs w:val="22"/>
        </w:rPr>
        <w:t xml:space="preserve">.  </w:t>
      </w:r>
      <w:r w:rsidR="00A529D7">
        <w:rPr>
          <w:bCs/>
          <w:sz w:val="22"/>
          <w:szCs w:val="22"/>
        </w:rPr>
        <w:t>The owner or operator must conduct the CPMS equipment performance evaluation, system accuracy audits, or other procedures at least annually.  The performance evaluations must be in accordance with the site-specific monitoring plan.</w:t>
      </w:r>
    </w:p>
    <w:p w:rsidR="00DE6A6E" w:rsidRDefault="00DE6A6E" w:rsidP="00DE6A6E">
      <w:pPr>
        <w:suppressAutoHyphens/>
        <w:spacing w:after="120"/>
        <w:ind w:left="360"/>
        <w:rPr>
          <w:sz w:val="22"/>
          <w:szCs w:val="22"/>
        </w:rPr>
      </w:pPr>
      <w:r>
        <w:rPr>
          <w:sz w:val="22"/>
          <w:szCs w:val="22"/>
        </w:rPr>
        <w:t>[</w:t>
      </w:r>
      <w:r w:rsidR="00916619">
        <w:rPr>
          <w:sz w:val="22"/>
          <w:szCs w:val="22"/>
        </w:rPr>
        <w:t xml:space="preserve">Rule </w:t>
      </w:r>
      <w:r w:rsidR="000C4E7D">
        <w:rPr>
          <w:sz w:val="22"/>
          <w:szCs w:val="22"/>
        </w:rPr>
        <w:t xml:space="preserve">62-204.800, </w:t>
      </w:r>
      <w:r>
        <w:rPr>
          <w:sz w:val="22"/>
          <w:szCs w:val="22"/>
        </w:rPr>
        <w:t>F.A.C.</w:t>
      </w:r>
      <w:r w:rsidR="000C4E7D">
        <w:rPr>
          <w:sz w:val="22"/>
          <w:szCs w:val="22"/>
        </w:rPr>
        <w:t xml:space="preserve">; and </w:t>
      </w:r>
      <w:r w:rsidR="00B5327F">
        <w:rPr>
          <w:sz w:val="22"/>
          <w:szCs w:val="22"/>
        </w:rPr>
        <w:t xml:space="preserve">40 CFR </w:t>
      </w:r>
      <w:r w:rsidR="0015384A">
        <w:rPr>
          <w:sz w:val="22"/>
          <w:szCs w:val="22"/>
        </w:rPr>
        <w:t>63.7(c)</w:t>
      </w:r>
      <w:r w:rsidR="0057657D">
        <w:rPr>
          <w:sz w:val="22"/>
          <w:szCs w:val="22"/>
        </w:rPr>
        <w:t>,</w:t>
      </w:r>
      <w:r w:rsidR="0015384A">
        <w:rPr>
          <w:sz w:val="22"/>
          <w:szCs w:val="22"/>
        </w:rPr>
        <w:t xml:space="preserve"> </w:t>
      </w:r>
      <w:r w:rsidR="00B5327F">
        <w:rPr>
          <w:sz w:val="22"/>
          <w:szCs w:val="22"/>
        </w:rPr>
        <w:t>63.6625(b)</w:t>
      </w:r>
      <w:r w:rsidR="0057657D">
        <w:rPr>
          <w:sz w:val="22"/>
          <w:szCs w:val="22"/>
        </w:rPr>
        <w:t>, and 63.6635</w:t>
      </w:r>
      <w:r w:rsidR="00B5327F">
        <w:rPr>
          <w:sz w:val="22"/>
          <w:szCs w:val="22"/>
        </w:rPr>
        <w:t>]</w:t>
      </w:r>
    </w:p>
    <w:p w:rsidR="00AC3189" w:rsidRPr="00AC3189" w:rsidRDefault="00EB609F" w:rsidP="00AC3189">
      <w:pPr>
        <w:numPr>
          <w:ilvl w:val="0"/>
          <w:numId w:val="9"/>
        </w:numPr>
        <w:spacing w:after="120"/>
        <w:rPr>
          <w:sz w:val="22"/>
          <w:szCs w:val="22"/>
        </w:rPr>
      </w:pPr>
      <w:bookmarkStart w:id="9" w:name="_Ref506186411"/>
      <w:r>
        <w:rPr>
          <w:sz w:val="22"/>
          <w:szCs w:val="22"/>
          <w:u w:val="single"/>
        </w:rPr>
        <w:t>General Compliance Requirement</w:t>
      </w:r>
      <w:r>
        <w:rPr>
          <w:sz w:val="22"/>
          <w:szCs w:val="22"/>
        </w:rPr>
        <w:t xml:space="preserve">:  </w:t>
      </w:r>
      <w:r w:rsidR="00AC3189">
        <w:rPr>
          <w:sz w:val="22"/>
          <w:szCs w:val="22"/>
        </w:rPr>
        <w:t xml:space="preserve">These units must, </w:t>
      </w:r>
      <w:proofErr w:type="gramStart"/>
      <w:r w:rsidR="00AC3189">
        <w:rPr>
          <w:sz w:val="22"/>
          <w:szCs w:val="22"/>
        </w:rPr>
        <w:t>at all times</w:t>
      </w:r>
      <w:proofErr w:type="gramEnd"/>
      <w:r w:rsidR="00AC3189">
        <w:rPr>
          <w:sz w:val="22"/>
          <w:szCs w:val="22"/>
        </w:rPr>
        <w:t>, be operated and maintained in a manner consistent with safety and good air pollution control practices for minimizing emissions.  [Rule 62-204.800, F.A.C.; and 40 CFR 63.6605</w:t>
      </w:r>
      <w:r w:rsidR="00E438D6">
        <w:rPr>
          <w:sz w:val="22"/>
          <w:szCs w:val="22"/>
        </w:rPr>
        <w:t>(b)</w:t>
      </w:r>
      <w:r w:rsidR="00AC3189">
        <w:rPr>
          <w:sz w:val="22"/>
          <w:szCs w:val="22"/>
        </w:rPr>
        <w:t>]</w:t>
      </w:r>
      <w:bookmarkEnd w:id="9"/>
    </w:p>
    <w:p w:rsidR="00B65E50" w:rsidRDefault="00B65E50" w:rsidP="005271ED">
      <w:pPr>
        <w:numPr>
          <w:ilvl w:val="0"/>
          <w:numId w:val="9"/>
        </w:numPr>
        <w:rPr>
          <w:sz w:val="22"/>
          <w:szCs w:val="22"/>
        </w:rPr>
      </w:pPr>
      <w:r>
        <w:rPr>
          <w:sz w:val="22"/>
          <w:szCs w:val="22"/>
          <w:u w:val="single"/>
        </w:rPr>
        <w:t>Continuous Compliance Requirements</w:t>
      </w:r>
      <w:r>
        <w:rPr>
          <w:sz w:val="22"/>
          <w:szCs w:val="22"/>
        </w:rPr>
        <w:t xml:space="preserve">:  </w:t>
      </w:r>
      <w:r w:rsidR="006553E2">
        <w:rPr>
          <w:sz w:val="22"/>
          <w:szCs w:val="22"/>
        </w:rPr>
        <w:t xml:space="preserve">These units must comply with the following requirements to be in continuous compliance with the CO emission limitation in Condition </w:t>
      </w:r>
      <w:r w:rsidR="006553E2" w:rsidRPr="006553E2">
        <w:rPr>
          <w:b/>
          <w:sz w:val="22"/>
          <w:szCs w:val="22"/>
        </w:rPr>
        <w:fldChar w:fldCharType="begin"/>
      </w:r>
      <w:r w:rsidR="006553E2" w:rsidRPr="006553E2">
        <w:rPr>
          <w:b/>
          <w:sz w:val="22"/>
          <w:szCs w:val="22"/>
        </w:rPr>
        <w:instrText xml:space="preserve"> REF _Ref505937120 \r \h </w:instrText>
      </w:r>
      <w:r w:rsidR="006553E2">
        <w:rPr>
          <w:b/>
          <w:sz w:val="22"/>
          <w:szCs w:val="22"/>
        </w:rPr>
        <w:instrText xml:space="preserve"> \* MERGEFORMAT </w:instrText>
      </w:r>
      <w:r w:rsidR="006553E2" w:rsidRPr="006553E2">
        <w:rPr>
          <w:b/>
          <w:sz w:val="22"/>
          <w:szCs w:val="22"/>
        </w:rPr>
      </w:r>
      <w:r w:rsidR="006553E2" w:rsidRPr="006553E2">
        <w:rPr>
          <w:b/>
          <w:sz w:val="22"/>
          <w:szCs w:val="22"/>
        </w:rPr>
        <w:fldChar w:fldCharType="separate"/>
      </w:r>
      <w:r w:rsidR="003564EB">
        <w:rPr>
          <w:b/>
          <w:sz w:val="22"/>
          <w:szCs w:val="22"/>
        </w:rPr>
        <w:t>5</w:t>
      </w:r>
      <w:r w:rsidR="006553E2" w:rsidRPr="006553E2">
        <w:rPr>
          <w:b/>
          <w:sz w:val="22"/>
          <w:szCs w:val="22"/>
        </w:rPr>
        <w:fldChar w:fldCharType="end"/>
      </w:r>
      <w:r w:rsidR="006553E2">
        <w:rPr>
          <w:sz w:val="22"/>
          <w:szCs w:val="22"/>
        </w:rPr>
        <w:t xml:space="preserve"> of this section.</w:t>
      </w:r>
    </w:p>
    <w:p w:rsidR="006553E2" w:rsidRDefault="00164BA5" w:rsidP="005271ED">
      <w:pPr>
        <w:pStyle w:val="ListParagraph"/>
        <w:numPr>
          <w:ilvl w:val="0"/>
          <w:numId w:val="15"/>
        </w:numPr>
        <w:spacing w:after="120"/>
        <w:ind w:left="720"/>
        <w:rPr>
          <w:sz w:val="22"/>
          <w:szCs w:val="22"/>
        </w:rPr>
      </w:pPr>
      <w:r>
        <w:rPr>
          <w:sz w:val="22"/>
          <w:szCs w:val="22"/>
        </w:rPr>
        <w:t xml:space="preserve">Conduct performance tests according to Conditions </w:t>
      </w:r>
      <w:r w:rsidRPr="00164BA5">
        <w:rPr>
          <w:b/>
          <w:sz w:val="22"/>
          <w:szCs w:val="22"/>
        </w:rPr>
        <w:fldChar w:fldCharType="begin"/>
      </w:r>
      <w:r w:rsidRPr="00164BA5">
        <w:rPr>
          <w:b/>
          <w:sz w:val="22"/>
          <w:szCs w:val="22"/>
        </w:rPr>
        <w:instrText xml:space="preserve"> REF _Ref505935634 \r \h </w:instrText>
      </w:r>
      <w:r>
        <w:rPr>
          <w:b/>
          <w:sz w:val="22"/>
          <w:szCs w:val="22"/>
        </w:rPr>
        <w:instrText xml:space="preserve"> \* MERGEFORMAT </w:instrText>
      </w:r>
      <w:r w:rsidRPr="00164BA5">
        <w:rPr>
          <w:b/>
          <w:sz w:val="22"/>
          <w:szCs w:val="22"/>
        </w:rPr>
      </w:r>
      <w:r w:rsidRPr="00164BA5">
        <w:rPr>
          <w:b/>
          <w:sz w:val="22"/>
          <w:szCs w:val="22"/>
        </w:rPr>
        <w:fldChar w:fldCharType="separate"/>
      </w:r>
      <w:r w:rsidR="003564EB">
        <w:rPr>
          <w:b/>
          <w:sz w:val="22"/>
          <w:szCs w:val="22"/>
        </w:rPr>
        <w:t>6</w:t>
      </w:r>
      <w:r w:rsidRPr="00164BA5">
        <w:rPr>
          <w:b/>
          <w:sz w:val="22"/>
          <w:szCs w:val="22"/>
        </w:rPr>
        <w:fldChar w:fldCharType="end"/>
      </w:r>
      <w:r>
        <w:rPr>
          <w:sz w:val="22"/>
          <w:szCs w:val="22"/>
        </w:rPr>
        <w:t xml:space="preserve"> and </w:t>
      </w:r>
      <w:r w:rsidRPr="00164BA5">
        <w:rPr>
          <w:b/>
          <w:sz w:val="22"/>
          <w:szCs w:val="22"/>
        </w:rPr>
        <w:fldChar w:fldCharType="begin"/>
      </w:r>
      <w:r w:rsidRPr="00164BA5">
        <w:rPr>
          <w:b/>
          <w:sz w:val="22"/>
          <w:szCs w:val="22"/>
        </w:rPr>
        <w:instrText xml:space="preserve"> REF _Ref505938795 \r \h </w:instrText>
      </w:r>
      <w:r>
        <w:rPr>
          <w:b/>
          <w:sz w:val="22"/>
          <w:szCs w:val="22"/>
        </w:rPr>
        <w:instrText xml:space="preserve"> \* MERGEFORMAT </w:instrText>
      </w:r>
      <w:r w:rsidRPr="00164BA5">
        <w:rPr>
          <w:b/>
          <w:sz w:val="22"/>
          <w:szCs w:val="22"/>
        </w:rPr>
      </w:r>
      <w:r w:rsidRPr="00164BA5">
        <w:rPr>
          <w:b/>
          <w:sz w:val="22"/>
          <w:szCs w:val="22"/>
        </w:rPr>
        <w:fldChar w:fldCharType="separate"/>
      </w:r>
      <w:r w:rsidR="003564EB">
        <w:rPr>
          <w:b/>
          <w:sz w:val="22"/>
          <w:szCs w:val="22"/>
        </w:rPr>
        <w:t>7</w:t>
      </w:r>
      <w:r w:rsidRPr="00164BA5">
        <w:rPr>
          <w:b/>
          <w:sz w:val="22"/>
          <w:szCs w:val="22"/>
        </w:rPr>
        <w:fldChar w:fldCharType="end"/>
      </w:r>
      <w:r>
        <w:rPr>
          <w:sz w:val="22"/>
          <w:szCs w:val="22"/>
        </w:rPr>
        <w:t xml:space="preserve"> of this section</w:t>
      </w:r>
      <w:r w:rsidR="00A56C1A">
        <w:rPr>
          <w:sz w:val="22"/>
          <w:szCs w:val="22"/>
        </w:rPr>
        <w:t xml:space="preserve"> to demonstrate that the required CO </w:t>
      </w:r>
      <w:r w:rsidR="00162108">
        <w:rPr>
          <w:sz w:val="22"/>
          <w:szCs w:val="22"/>
        </w:rPr>
        <w:t>% reduction is achieved or that the emissions remain below the CO emission concentration limit.</w:t>
      </w:r>
    </w:p>
    <w:p w:rsidR="00162108" w:rsidRDefault="00876A45" w:rsidP="005271ED">
      <w:pPr>
        <w:pStyle w:val="ListParagraph"/>
        <w:numPr>
          <w:ilvl w:val="0"/>
          <w:numId w:val="15"/>
        </w:numPr>
        <w:spacing w:after="120"/>
        <w:ind w:left="720"/>
        <w:rPr>
          <w:sz w:val="22"/>
          <w:szCs w:val="22"/>
        </w:rPr>
      </w:pPr>
      <w:r>
        <w:rPr>
          <w:sz w:val="22"/>
          <w:szCs w:val="22"/>
        </w:rPr>
        <w:t xml:space="preserve">Collect the catalyst inlet temperature data according to Condition </w:t>
      </w:r>
      <w:r w:rsidRPr="00876A45">
        <w:rPr>
          <w:b/>
          <w:sz w:val="22"/>
          <w:szCs w:val="22"/>
        </w:rPr>
        <w:fldChar w:fldCharType="begin"/>
      </w:r>
      <w:r w:rsidRPr="00876A45">
        <w:rPr>
          <w:b/>
          <w:sz w:val="22"/>
          <w:szCs w:val="22"/>
        </w:rPr>
        <w:instrText xml:space="preserve"> REF _Ref505939550 \r \h </w:instrText>
      </w:r>
      <w:r>
        <w:rPr>
          <w:b/>
          <w:sz w:val="22"/>
          <w:szCs w:val="22"/>
        </w:rPr>
        <w:instrText xml:space="preserve"> \* MERGEFORMAT </w:instrText>
      </w:r>
      <w:r w:rsidRPr="00876A45">
        <w:rPr>
          <w:b/>
          <w:sz w:val="22"/>
          <w:szCs w:val="22"/>
        </w:rPr>
      </w:r>
      <w:r w:rsidRPr="00876A45">
        <w:rPr>
          <w:b/>
          <w:sz w:val="22"/>
          <w:szCs w:val="22"/>
        </w:rPr>
        <w:fldChar w:fldCharType="separate"/>
      </w:r>
      <w:r w:rsidR="003564EB">
        <w:rPr>
          <w:b/>
          <w:sz w:val="22"/>
          <w:szCs w:val="22"/>
        </w:rPr>
        <w:t>9</w:t>
      </w:r>
      <w:r w:rsidRPr="00876A45">
        <w:rPr>
          <w:b/>
          <w:sz w:val="22"/>
          <w:szCs w:val="22"/>
        </w:rPr>
        <w:fldChar w:fldCharType="end"/>
      </w:r>
      <w:r w:rsidRPr="00876A45">
        <w:rPr>
          <w:b/>
          <w:sz w:val="22"/>
          <w:szCs w:val="22"/>
        </w:rPr>
        <w:t>.</w:t>
      </w:r>
      <w:r w:rsidRPr="00876A45">
        <w:rPr>
          <w:b/>
          <w:sz w:val="22"/>
          <w:szCs w:val="22"/>
        </w:rPr>
        <w:fldChar w:fldCharType="begin"/>
      </w:r>
      <w:r w:rsidRPr="00876A45">
        <w:rPr>
          <w:b/>
          <w:sz w:val="22"/>
          <w:szCs w:val="22"/>
        </w:rPr>
        <w:instrText xml:space="preserve"> REF _Ref505939555 \r \h </w:instrText>
      </w:r>
      <w:r>
        <w:rPr>
          <w:b/>
          <w:sz w:val="22"/>
          <w:szCs w:val="22"/>
        </w:rPr>
        <w:instrText xml:space="preserve"> \* MERGEFORMAT </w:instrText>
      </w:r>
      <w:r w:rsidRPr="00876A45">
        <w:rPr>
          <w:b/>
          <w:sz w:val="22"/>
          <w:szCs w:val="22"/>
        </w:rPr>
      </w:r>
      <w:r w:rsidRPr="00876A45">
        <w:rPr>
          <w:b/>
          <w:sz w:val="22"/>
          <w:szCs w:val="22"/>
        </w:rPr>
        <w:fldChar w:fldCharType="separate"/>
      </w:r>
      <w:r w:rsidR="003564EB">
        <w:rPr>
          <w:b/>
          <w:sz w:val="22"/>
          <w:szCs w:val="22"/>
        </w:rPr>
        <w:t>d</w:t>
      </w:r>
      <w:r w:rsidRPr="00876A45">
        <w:rPr>
          <w:b/>
          <w:sz w:val="22"/>
          <w:szCs w:val="22"/>
        </w:rPr>
        <w:fldChar w:fldCharType="end"/>
      </w:r>
      <w:r>
        <w:rPr>
          <w:sz w:val="22"/>
          <w:szCs w:val="22"/>
        </w:rPr>
        <w:t xml:space="preserve"> of this section, reduce those data to 4-hour rolling averages, and maintain the 4-hour rolling averages within the operating limitations for the catalyst inlet temperature.</w:t>
      </w:r>
    </w:p>
    <w:p w:rsidR="00876A45" w:rsidRDefault="00876A45" w:rsidP="005271ED">
      <w:pPr>
        <w:pStyle w:val="ListParagraph"/>
        <w:numPr>
          <w:ilvl w:val="0"/>
          <w:numId w:val="15"/>
        </w:numPr>
        <w:ind w:left="720"/>
        <w:rPr>
          <w:sz w:val="22"/>
          <w:szCs w:val="22"/>
        </w:rPr>
      </w:pPr>
      <w:r>
        <w:rPr>
          <w:sz w:val="22"/>
          <w:szCs w:val="22"/>
        </w:rPr>
        <w:t xml:space="preserve">Measure the pressure drop </w:t>
      </w:r>
      <w:r w:rsidR="000E56FC">
        <w:rPr>
          <w:sz w:val="22"/>
          <w:szCs w:val="22"/>
        </w:rPr>
        <w:t xml:space="preserve">across the catalyst once per month to demonstrate that the pressure drop across the catalyst is within the operating limitation </w:t>
      </w:r>
      <w:r w:rsidR="00BE2ABC">
        <w:rPr>
          <w:sz w:val="22"/>
          <w:szCs w:val="22"/>
        </w:rPr>
        <w:t xml:space="preserve">that was </w:t>
      </w:r>
      <w:r w:rsidR="00910B12">
        <w:rPr>
          <w:sz w:val="22"/>
          <w:szCs w:val="22"/>
        </w:rPr>
        <w:t>established during the initial performance tests.</w:t>
      </w:r>
    </w:p>
    <w:p w:rsidR="00BE2ABC" w:rsidRPr="00BE2ABC" w:rsidRDefault="00BE2ABC" w:rsidP="00BE2ABC">
      <w:pPr>
        <w:spacing w:after="120"/>
        <w:ind w:left="360"/>
        <w:rPr>
          <w:sz w:val="22"/>
          <w:szCs w:val="22"/>
        </w:rPr>
      </w:pPr>
      <w:r>
        <w:rPr>
          <w:sz w:val="22"/>
          <w:szCs w:val="22"/>
        </w:rPr>
        <w:t>[Rule 62-204.800, F.A.C.; and</w:t>
      </w:r>
      <w:r w:rsidR="0018319E">
        <w:rPr>
          <w:sz w:val="22"/>
          <w:szCs w:val="22"/>
        </w:rPr>
        <w:t xml:space="preserve"> 40 CFR 63.6640(a) and</w:t>
      </w:r>
      <w:r>
        <w:rPr>
          <w:sz w:val="22"/>
          <w:szCs w:val="22"/>
        </w:rPr>
        <w:t xml:space="preserve"> Table 6 </w:t>
      </w:r>
      <w:r w:rsidR="00DB3AF6">
        <w:rPr>
          <w:sz w:val="22"/>
          <w:szCs w:val="22"/>
        </w:rPr>
        <w:t>to Subpart ZZZZ of Part 63</w:t>
      </w:r>
      <w:r>
        <w:rPr>
          <w:sz w:val="22"/>
          <w:szCs w:val="22"/>
        </w:rPr>
        <w:t>]</w:t>
      </w:r>
    </w:p>
    <w:p w:rsidR="00DE6A6E" w:rsidRPr="00845DA5" w:rsidRDefault="00DE6A6E" w:rsidP="00DE6A6E">
      <w:pPr>
        <w:spacing w:before="120" w:after="120"/>
        <w:rPr>
          <w:b/>
          <w:bCs/>
          <w:caps/>
          <w:sz w:val="22"/>
          <w:szCs w:val="22"/>
        </w:rPr>
      </w:pPr>
      <w:r w:rsidRPr="00845DA5">
        <w:rPr>
          <w:b/>
          <w:bCs/>
          <w:caps/>
          <w:sz w:val="22"/>
          <w:szCs w:val="22"/>
        </w:rPr>
        <w:t>Records and Reports</w:t>
      </w:r>
    </w:p>
    <w:p w:rsidR="00DE6A6E" w:rsidRPr="00845DA5" w:rsidRDefault="00DE6A6E" w:rsidP="005271ED">
      <w:pPr>
        <w:numPr>
          <w:ilvl w:val="0"/>
          <w:numId w:val="9"/>
        </w:numPr>
        <w:spacing w:after="120"/>
        <w:rPr>
          <w:sz w:val="22"/>
          <w:szCs w:val="22"/>
        </w:rPr>
      </w:pPr>
      <w:r w:rsidRPr="00845DA5">
        <w:rPr>
          <w:sz w:val="22"/>
          <w:szCs w:val="22"/>
          <w:u w:val="single"/>
        </w:rPr>
        <w:t>Test Reports</w:t>
      </w:r>
      <w:r w:rsidRPr="00845DA5">
        <w:rPr>
          <w:sz w:val="22"/>
          <w:szCs w:val="22"/>
        </w:rPr>
        <w:t>:  The permittee shall prepare and submit reports for all required tests in accordance with the requirements specified in Appendix D</w:t>
      </w:r>
      <w:r>
        <w:rPr>
          <w:sz w:val="22"/>
          <w:szCs w:val="22"/>
        </w:rPr>
        <w:t xml:space="preserve"> (</w:t>
      </w:r>
      <w:r w:rsidRPr="00845DA5">
        <w:rPr>
          <w:sz w:val="22"/>
          <w:szCs w:val="22"/>
        </w:rPr>
        <w:t>Common Testing Requirements</w:t>
      </w:r>
      <w:r>
        <w:rPr>
          <w:sz w:val="22"/>
          <w:szCs w:val="22"/>
        </w:rPr>
        <w:t xml:space="preserve">) </w:t>
      </w:r>
      <w:r w:rsidR="001171D5">
        <w:rPr>
          <w:sz w:val="22"/>
          <w:szCs w:val="22"/>
        </w:rPr>
        <w:t>of this permit</w:t>
      </w:r>
      <w:r w:rsidRPr="00845DA5">
        <w:rPr>
          <w:sz w:val="22"/>
          <w:szCs w:val="22"/>
        </w:rPr>
        <w:t>.  [Rule 62-297.310(</w:t>
      </w:r>
      <w:r w:rsidR="00176CA2">
        <w:rPr>
          <w:sz w:val="22"/>
          <w:szCs w:val="22"/>
        </w:rPr>
        <w:t>10</w:t>
      </w:r>
      <w:r w:rsidRPr="00845DA5">
        <w:rPr>
          <w:sz w:val="22"/>
          <w:szCs w:val="22"/>
        </w:rPr>
        <w:t>), F.A.C.]</w:t>
      </w:r>
    </w:p>
    <w:p w:rsidR="004032E4" w:rsidRDefault="0058379E" w:rsidP="005271ED">
      <w:pPr>
        <w:numPr>
          <w:ilvl w:val="0"/>
          <w:numId w:val="9"/>
        </w:numPr>
        <w:rPr>
          <w:sz w:val="22"/>
          <w:szCs w:val="22"/>
        </w:rPr>
      </w:pPr>
      <w:r>
        <w:rPr>
          <w:sz w:val="22"/>
          <w:szCs w:val="22"/>
          <w:u w:val="single"/>
        </w:rPr>
        <w:t>Semiannual</w:t>
      </w:r>
      <w:r w:rsidR="004032E4">
        <w:rPr>
          <w:sz w:val="22"/>
          <w:szCs w:val="22"/>
          <w:u w:val="single"/>
        </w:rPr>
        <w:t xml:space="preserve"> Compliance Report</w:t>
      </w:r>
      <w:r w:rsidR="004032E4">
        <w:rPr>
          <w:sz w:val="22"/>
          <w:szCs w:val="22"/>
        </w:rPr>
        <w:t xml:space="preserve">:  </w:t>
      </w:r>
      <w:r w:rsidR="005271ED">
        <w:rPr>
          <w:sz w:val="22"/>
          <w:szCs w:val="22"/>
        </w:rPr>
        <w:t xml:space="preserve">The owner or operator shall submit </w:t>
      </w:r>
      <w:r>
        <w:rPr>
          <w:sz w:val="22"/>
          <w:szCs w:val="22"/>
        </w:rPr>
        <w:t>semiannual</w:t>
      </w:r>
      <w:r w:rsidR="005271ED">
        <w:rPr>
          <w:sz w:val="22"/>
          <w:szCs w:val="22"/>
        </w:rPr>
        <w:t xml:space="preserve"> compliance reports to the Department according to the following requirements:</w:t>
      </w:r>
    </w:p>
    <w:p w:rsidR="005271ED" w:rsidRDefault="009053EB" w:rsidP="005271ED">
      <w:pPr>
        <w:pStyle w:val="ListParagraph"/>
        <w:numPr>
          <w:ilvl w:val="0"/>
          <w:numId w:val="17"/>
        </w:numPr>
        <w:spacing w:after="120"/>
        <w:ind w:left="720"/>
        <w:rPr>
          <w:sz w:val="22"/>
          <w:szCs w:val="22"/>
        </w:rPr>
      </w:pPr>
      <w:r>
        <w:rPr>
          <w:sz w:val="22"/>
          <w:szCs w:val="22"/>
        </w:rPr>
        <w:t xml:space="preserve">The report must cover the applicable </w:t>
      </w:r>
      <w:r w:rsidR="0058379E">
        <w:rPr>
          <w:sz w:val="22"/>
          <w:szCs w:val="22"/>
        </w:rPr>
        <w:t>semiannual</w:t>
      </w:r>
      <w:r>
        <w:rPr>
          <w:sz w:val="22"/>
          <w:szCs w:val="22"/>
        </w:rPr>
        <w:t xml:space="preserve"> period, either January 1 through June 30 or July 1 through December 31.</w:t>
      </w:r>
    </w:p>
    <w:p w:rsidR="009053EB" w:rsidRDefault="00C42A8E" w:rsidP="005271ED">
      <w:pPr>
        <w:pStyle w:val="ListParagraph"/>
        <w:numPr>
          <w:ilvl w:val="0"/>
          <w:numId w:val="17"/>
        </w:numPr>
        <w:spacing w:after="120"/>
        <w:ind w:left="720"/>
        <w:rPr>
          <w:sz w:val="22"/>
          <w:szCs w:val="22"/>
        </w:rPr>
      </w:pPr>
      <w:r>
        <w:rPr>
          <w:sz w:val="22"/>
          <w:szCs w:val="22"/>
        </w:rPr>
        <w:t>The report must contain the following information:</w:t>
      </w:r>
    </w:p>
    <w:p w:rsidR="00144228" w:rsidRDefault="008D1AA9" w:rsidP="00144228">
      <w:pPr>
        <w:pStyle w:val="ListParagraph"/>
        <w:numPr>
          <w:ilvl w:val="0"/>
          <w:numId w:val="19"/>
        </w:numPr>
        <w:spacing w:after="120"/>
        <w:ind w:left="1080"/>
        <w:rPr>
          <w:sz w:val="22"/>
          <w:szCs w:val="22"/>
        </w:rPr>
      </w:pPr>
      <w:r>
        <w:rPr>
          <w:sz w:val="22"/>
          <w:szCs w:val="22"/>
        </w:rPr>
        <w:t>Company name and address.</w:t>
      </w:r>
    </w:p>
    <w:p w:rsidR="00144228" w:rsidRDefault="00144228" w:rsidP="00144228">
      <w:pPr>
        <w:pStyle w:val="ListParagraph"/>
        <w:numPr>
          <w:ilvl w:val="0"/>
          <w:numId w:val="19"/>
        </w:numPr>
        <w:spacing w:after="120"/>
        <w:ind w:left="1080"/>
        <w:rPr>
          <w:sz w:val="22"/>
          <w:szCs w:val="22"/>
        </w:rPr>
      </w:pPr>
      <w:r>
        <w:rPr>
          <w:sz w:val="22"/>
          <w:szCs w:val="22"/>
        </w:rPr>
        <w:t xml:space="preserve">Statement by a </w:t>
      </w:r>
      <w:r w:rsidR="00F554E9">
        <w:rPr>
          <w:sz w:val="22"/>
          <w:szCs w:val="22"/>
        </w:rPr>
        <w:t>responsible official, with that official’s name, title, and signature, certifying the accuracy of the content of the report</w:t>
      </w:r>
      <w:r w:rsidR="008D1AA9">
        <w:rPr>
          <w:sz w:val="22"/>
          <w:szCs w:val="22"/>
        </w:rPr>
        <w:t xml:space="preserve">. </w:t>
      </w:r>
      <w:r w:rsidR="00F554E9">
        <w:rPr>
          <w:sz w:val="22"/>
          <w:szCs w:val="22"/>
        </w:rPr>
        <w:t xml:space="preserve"> </w:t>
      </w:r>
      <w:r w:rsidR="00F554E9">
        <w:rPr>
          <w:i/>
          <w:sz w:val="22"/>
          <w:szCs w:val="22"/>
        </w:rPr>
        <w:t xml:space="preserve">{Permitting Note:  This requirement will be fulfilled by the facility’s authorized representative because it is </w:t>
      </w:r>
      <w:r w:rsidR="00F10A7B">
        <w:rPr>
          <w:i/>
          <w:sz w:val="22"/>
          <w:szCs w:val="22"/>
        </w:rPr>
        <w:t xml:space="preserve">an area source of HAP and </w:t>
      </w:r>
      <w:r w:rsidR="00F554E9">
        <w:rPr>
          <w:i/>
          <w:sz w:val="22"/>
          <w:szCs w:val="22"/>
        </w:rPr>
        <w:t>not a Title V facility.}</w:t>
      </w:r>
    </w:p>
    <w:p w:rsidR="00F554E9" w:rsidRDefault="00F554E9" w:rsidP="00144228">
      <w:pPr>
        <w:pStyle w:val="ListParagraph"/>
        <w:numPr>
          <w:ilvl w:val="0"/>
          <w:numId w:val="19"/>
        </w:numPr>
        <w:spacing w:after="120"/>
        <w:ind w:left="1080"/>
        <w:rPr>
          <w:sz w:val="22"/>
          <w:szCs w:val="22"/>
        </w:rPr>
      </w:pPr>
      <w:r>
        <w:rPr>
          <w:sz w:val="22"/>
          <w:szCs w:val="22"/>
        </w:rPr>
        <w:t>Date of report and beginning and ending dat</w:t>
      </w:r>
      <w:r w:rsidR="008D1AA9">
        <w:rPr>
          <w:sz w:val="22"/>
          <w:szCs w:val="22"/>
        </w:rPr>
        <w:t>es of relevant reporting period.</w:t>
      </w:r>
    </w:p>
    <w:p w:rsidR="00F554E9" w:rsidRDefault="00F554E9" w:rsidP="00144228">
      <w:pPr>
        <w:pStyle w:val="ListParagraph"/>
        <w:numPr>
          <w:ilvl w:val="0"/>
          <w:numId w:val="19"/>
        </w:numPr>
        <w:spacing w:after="120"/>
        <w:ind w:left="1080"/>
        <w:rPr>
          <w:sz w:val="22"/>
          <w:szCs w:val="22"/>
        </w:rPr>
      </w:pPr>
      <w:r>
        <w:rPr>
          <w:sz w:val="22"/>
          <w:szCs w:val="22"/>
        </w:rPr>
        <w:t xml:space="preserve">If there was a malfunction during the reporting period, the report must include the number, duration, and a brief description for each type of malfunction which occurred and which caused or may have caused any applicable emission limitation to be exceeded.  The report must also include a description of actions taken by the owner or operator during a malfunction to minimize emissions in accordance with Condition </w:t>
      </w:r>
      <w:r w:rsidRPr="00F554E9">
        <w:rPr>
          <w:b/>
          <w:sz w:val="22"/>
          <w:szCs w:val="22"/>
        </w:rPr>
        <w:fldChar w:fldCharType="begin"/>
      </w:r>
      <w:r w:rsidRPr="00F554E9">
        <w:rPr>
          <w:b/>
          <w:sz w:val="22"/>
          <w:szCs w:val="22"/>
        </w:rPr>
        <w:instrText xml:space="preserve"> REF _Ref506186411 \r \h </w:instrText>
      </w:r>
      <w:r>
        <w:rPr>
          <w:b/>
          <w:sz w:val="22"/>
          <w:szCs w:val="22"/>
        </w:rPr>
        <w:instrText xml:space="preserve"> \* MERGEFORMAT </w:instrText>
      </w:r>
      <w:r w:rsidRPr="00F554E9">
        <w:rPr>
          <w:b/>
          <w:sz w:val="22"/>
          <w:szCs w:val="22"/>
        </w:rPr>
      </w:r>
      <w:r w:rsidRPr="00F554E9">
        <w:rPr>
          <w:b/>
          <w:sz w:val="22"/>
          <w:szCs w:val="22"/>
        </w:rPr>
        <w:fldChar w:fldCharType="separate"/>
      </w:r>
      <w:r w:rsidR="003564EB">
        <w:rPr>
          <w:b/>
          <w:sz w:val="22"/>
          <w:szCs w:val="22"/>
        </w:rPr>
        <w:t>10</w:t>
      </w:r>
      <w:r w:rsidRPr="00F554E9">
        <w:rPr>
          <w:b/>
          <w:sz w:val="22"/>
          <w:szCs w:val="22"/>
        </w:rPr>
        <w:fldChar w:fldCharType="end"/>
      </w:r>
      <w:r>
        <w:rPr>
          <w:sz w:val="22"/>
          <w:szCs w:val="22"/>
        </w:rPr>
        <w:t xml:space="preserve"> of this section, including actions taken to correct a malfunction.</w:t>
      </w:r>
    </w:p>
    <w:p w:rsidR="00F554E9" w:rsidRDefault="008D1AA9" w:rsidP="00144228">
      <w:pPr>
        <w:pStyle w:val="ListParagraph"/>
        <w:numPr>
          <w:ilvl w:val="0"/>
          <w:numId w:val="19"/>
        </w:numPr>
        <w:spacing w:after="120"/>
        <w:ind w:left="1080"/>
        <w:rPr>
          <w:sz w:val="22"/>
          <w:szCs w:val="22"/>
        </w:rPr>
      </w:pPr>
      <w:r>
        <w:rPr>
          <w:sz w:val="22"/>
          <w:szCs w:val="22"/>
        </w:rPr>
        <w:t xml:space="preserve">If there are no deviations from any emission or operating limitations, a statement that there were </w:t>
      </w:r>
      <w:r w:rsidR="007614E3">
        <w:rPr>
          <w:sz w:val="22"/>
          <w:szCs w:val="22"/>
        </w:rPr>
        <w:t>no deviations from the emission</w:t>
      </w:r>
      <w:r>
        <w:rPr>
          <w:sz w:val="22"/>
          <w:szCs w:val="22"/>
        </w:rPr>
        <w:t xml:space="preserve"> or operating limitations during the reporting period.</w:t>
      </w:r>
    </w:p>
    <w:p w:rsidR="008D1AA9" w:rsidRDefault="008D1AA9" w:rsidP="00427BD5">
      <w:pPr>
        <w:pStyle w:val="ListParagraph"/>
        <w:numPr>
          <w:ilvl w:val="0"/>
          <w:numId w:val="19"/>
        </w:numPr>
        <w:ind w:left="1080"/>
        <w:rPr>
          <w:sz w:val="22"/>
          <w:szCs w:val="22"/>
        </w:rPr>
      </w:pPr>
      <w:r>
        <w:rPr>
          <w:sz w:val="22"/>
          <w:szCs w:val="22"/>
        </w:rPr>
        <w:t>If there were no periods during which the CMS, including CPMS, was out of control, as defined in 40 CFR 63.8(c)(7), a statement that there were no periods during which the CMS was out of control during the reporting period.</w:t>
      </w:r>
    </w:p>
    <w:p w:rsidR="00145E66" w:rsidRDefault="007614E3" w:rsidP="00145E66">
      <w:pPr>
        <w:pStyle w:val="ListParagraph"/>
        <w:numPr>
          <w:ilvl w:val="0"/>
          <w:numId w:val="17"/>
        </w:numPr>
        <w:spacing w:after="120"/>
        <w:ind w:left="720"/>
        <w:rPr>
          <w:sz w:val="22"/>
          <w:szCs w:val="22"/>
        </w:rPr>
      </w:pPr>
      <w:r>
        <w:rPr>
          <w:sz w:val="22"/>
          <w:szCs w:val="22"/>
        </w:rPr>
        <w:t xml:space="preserve">For each deviation from an emission or </w:t>
      </w:r>
      <w:r w:rsidR="00774A09">
        <w:rPr>
          <w:sz w:val="22"/>
          <w:szCs w:val="22"/>
        </w:rPr>
        <w:t>operating limitation, the following information must be included in the report:</w:t>
      </w:r>
    </w:p>
    <w:p w:rsidR="00774A09" w:rsidRDefault="006E6B11" w:rsidP="00774A09">
      <w:pPr>
        <w:pStyle w:val="ListParagraph"/>
        <w:numPr>
          <w:ilvl w:val="0"/>
          <w:numId w:val="20"/>
        </w:numPr>
        <w:spacing w:after="120"/>
        <w:ind w:left="1080"/>
        <w:rPr>
          <w:sz w:val="22"/>
          <w:szCs w:val="22"/>
        </w:rPr>
      </w:pPr>
      <w:r>
        <w:rPr>
          <w:sz w:val="22"/>
          <w:szCs w:val="22"/>
        </w:rPr>
        <w:t>The date and time that each malfunction started and stopped.</w:t>
      </w:r>
    </w:p>
    <w:p w:rsidR="006E6B11" w:rsidRDefault="006E6B11" w:rsidP="00774A09">
      <w:pPr>
        <w:pStyle w:val="ListParagraph"/>
        <w:numPr>
          <w:ilvl w:val="0"/>
          <w:numId w:val="20"/>
        </w:numPr>
        <w:spacing w:after="120"/>
        <w:ind w:left="1080"/>
        <w:rPr>
          <w:sz w:val="22"/>
          <w:szCs w:val="22"/>
        </w:rPr>
      </w:pPr>
      <w:r>
        <w:rPr>
          <w:sz w:val="22"/>
          <w:szCs w:val="22"/>
        </w:rPr>
        <w:t>The date, time, and duration that each CMS was inoperative, except for zero and high-level checks.</w:t>
      </w:r>
    </w:p>
    <w:p w:rsidR="006E6B11" w:rsidRDefault="006E6B11" w:rsidP="00774A09">
      <w:pPr>
        <w:pStyle w:val="ListParagraph"/>
        <w:numPr>
          <w:ilvl w:val="0"/>
          <w:numId w:val="20"/>
        </w:numPr>
        <w:spacing w:after="120"/>
        <w:ind w:left="1080"/>
        <w:rPr>
          <w:sz w:val="22"/>
          <w:szCs w:val="22"/>
        </w:rPr>
      </w:pPr>
      <w:r>
        <w:rPr>
          <w:sz w:val="22"/>
          <w:szCs w:val="22"/>
        </w:rPr>
        <w:t>The date, time, and duration that each CMS was out of control, including the information in 40 CFR 63.8(c)(8).</w:t>
      </w:r>
    </w:p>
    <w:p w:rsidR="006E6B11" w:rsidRDefault="008D10EA" w:rsidP="00774A09">
      <w:pPr>
        <w:pStyle w:val="ListParagraph"/>
        <w:numPr>
          <w:ilvl w:val="0"/>
          <w:numId w:val="20"/>
        </w:numPr>
        <w:spacing w:after="120"/>
        <w:ind w:left="1080"/>
        <w:rPr>
          <w:sz w:val="22"/>
          <w:szCs w:val="22"/>
        </w:rPr>
      </w:pPr>
      <w:r>
        <w:rPr>
          <w:sz w:val="22"/>
          <w:szCs w:val="22"/>
        </w:rPr>
        <w:t>The date and time that each deviation started and stopped, and whether each deviation occurred during a period of malfunction or during another period.</w:t>
      </w:r>
    </w:p>
    <w:p w:rsidR="008D10EA" w:rsidRDefault="008D10EA" w:rsidP="00774A09">
      <w:pPr>
        <w:pStyle w:val="ListParagraph"/>
        <w:numPr>
          <w:ilvl w:val="0"/>
          <w:numId w:val="20"/>
        </w:numPr>
        <w:spacing w:after="120"/>
        <w:ind w:left="1080"/>
        <w:rPr>
          <w:sz w:val="22"/>
          <w:szCs w:val="22"/>
        </w:rPr>
      </w:pPr>
      <w:r>
        <w:rPr>
          <w:sz w:val="22"/>
          <w:szCs w:val="22"/>
        </w:rPr>
        <w:t>A summary of the total duration of the deviation during the reporting period, and the total duration as a percent of the total source operating time during that reporting period.</w:t>
      </w:r>
    </w:p>
    <w:p w:rsidR="008D10EA" w:rsidRDefault="008D10EA" w:rsidP="00774A09">
      <w:pPr>
        <w:pStyle w:val="ListParagraph"/>
        <w:numPr>
          <w:ilvl w:val="0"/>
          <w:numId w:val="20"/>
        </w:numPr>
        <w:spacing w:after="120"/>
        <w:ind w:left="1080"/>
        <w:rPr>
          <w:sz w:val="22"/>
          <w:szCs w:val="22"/>
        </w:rPr>
      </w:pPr>
      <w:r>
        <w:rPr>
          <w:sz w:val="22"/>
          <w:szCs w:val="22"/>
        </w:rPr>
        <w:t>A breakdown of the total duration of the deviations during the reporting period into those that are due to control equipment problems, process problems, other known causes, and other unknown causes.</w:t>
      </w:r>
    </w:p>
    <w:p w:rsidR="008D10EA" w:rsidRDefault="008D10EA" w:rsidP="00774A09">
      <w:pPr>
        <w:pStyle w:val="ListParagraph"/>
        <w:numPr>
          <w:ilvl w:val="0"/>
          <w:numId w:val="20"/>
        </w:numPr>
        <w:spacing w:after="120"/>
        <w:ind w:left="1080"/>
        <w:rPr>
          <w:sz w:val="22"/>
          <w:szCs w:val="22"/>
        </w:rPr>
      </w:pPr>
      <w:r>
        <w:rPr>
          <w:sz w:val="22"/>
          <w:szCs w:val="22"/>
        </w:rPr>
        <w:t>A summary of the total duration of CMS downtime during the reporting period, and the total duration of CMS downtime as a percent of the total source operating time during that reporting period.</w:t>
      </w:r>
    </w:p>
    <w:p w:rsidR="008D10EA" w:rsidRDefault="005416CE" w:rsidP="00774A09">
      <w:pPr>
        <w:pStyle w:val="ListParagraph"/>
        <w:numPr>
          <w:ilvl w:val="0"/>
          <w:numId w:val="20"/>
        </w:numPr>
        <w:spacing w:after="120"/>
        <w:ind w:left="1080"/>
        <w:rPr>
          <w:sz w:val="22"/>
          <w:szCs w:val="22"/>
        </w:rPr>
      </w:pPr>
      <w:r>
        <w:rPr>
          <w:sz w:val="22"/>
          <w:szCs w:val="22"/>
        </w:rPr>
        <w:t xml:space="preserve">An identification of each parameter that was monitored </w:t>
      </w:r>
      <w:r w:rsidR="00B440E4">
        <w:rPr>
          <w:sz w:val="22"/>
          <w:szCs w:val="22"/>
        </w:rPr>
        <w:t>for</w:t>
      </w:r>
      <w:r>
        <w:rPr>
          <w:sz w:val="22"/>
          <w:szCs w:val="22"/>
        </w:rPr>
        <w:t xml:space="preserve"> the RICE.</w:t>
      </w:r>
    </w:p>
    <w:p w:rsidR="001663E5" w:rsidRPr="001663E5" w:rsidRDefault="005416CE" w:rsidP="001663E5">
      <w:pPr>
        <w:pStyle w:val="ListParagraph"/>
        <w:numPr>
          <w:ilvl w:val="0"/>
          <w:numId w:val="20"/>
        </w:numPr>
        <w:ind w:left="1080"/>
        <w:rPr>
          <w:sz w:val="22"/>
          <w:szCs w:val="22"/>
        </w:rPr>
      </w:pPr>
      <w:r>
        <w:rPr>
          <w:sz w:val="22"/>
          <w:szCs w:val="22"/>
        </w:rPr>
        <w:t>A brief description of the RICE</w:t>
      </w:r>
      <w:r w:rsidR="001663E5">
        <w:rPr>
          <w:sz w:val="22"/>
          <w:szCs w:val="22"/>
        </w:rPr>
        <w:t xml:space="preserve"> and the associated CMS, including the date of the latest CMS certification or audit and a description of any changes in CMS, processes, or controls since the last reporting period.</w:t>
      </w:r>
    </w:p>
    <w:p w:rsidR="00CA25A0" w:rsidRPr="00CA25A0" w:rsidRDefault="00CA25A0" w:rsidP="00CA25A0">
      <w:pPr>
        <w:spacing w:after="120"/>
        <w:ind w:left="360"/>
        <w:rPr>
          <w:sz w:val="22"/>
          <w:szCs w:val="22"/>
        </w:rPr>
      </w:pPr>
      <w:r>
        <w:rPr>
          <w:sz w:val="22"/>
          <w:szCs w:val="22"/>
        </w:rPr>
        <w:t>[Rule 62-204.800, F.A.C.; and 40 CFR 63.6650]</w:t>
      </w:r>
    </w:p>
    <w:p w:rsidR="00DE6A6E" w:rsidRDefault="00957A53" w:rsidP="005271ED">
      <w:pPr>
        <w:numPr>
          <w:ilvl w:val="0"/>
          <w:numId w:val="9"/>
        </w:numPr>
        <w:rPr>
          <w:sz w:val="22"/>
          <w:szCs w:val="22"/>
        </w:rPr>
      </w:pPr>
      <w:r>
        <w:rPr>
          <w:sz w:val="22"/>
          <w:szCs w:val="22"/>
          <w:u w:val="single"/>
        </w:rPr>
        <w:t>CPMS Recordkeeping</w:t>
      </w:r>
      <w:r w:rsidR="00BA6502">
        <w:rPr>
          <w:sz w:val="22"/>
          <w:szCs w:val="22"/>
        </w:rPr>
        <w:t xml:space="preserve">:  </w:t>
      </w:r>
      <w:r w:rsidR="00960932">
        <w:rPr>
          <w:sz w:val="22"/>
          <w:szCs w:val="22"/>
        </w:rPr>
        <w:t>The owner or operator shall maintain records of the following</w:t>
      </w:r>
      <w:r w:rsidR="002D510C">
        <w:rPr>
          <w:sz w:val="22"/>
          <w:szCs w:val="22"/>
        </w:rPr>
        <w:t xml:space="preserve"> information</w:t>
      </w:r>
      <w:r w:rsidR="00960932">
        <w:rPr>
          <w:sz w:val="22"/>
          <w:szCs w:val="22"/>
        </w:rPr>
        <w:t>:</w:t>
      </w:r>
    </w:p>
    <w:p w:rsidR="00960932" w:rsidRDefault="0090632A" w:rsidP="005271ED">
      <w:pPr>
        <w:pStyle w:val="ListParagraph"/>
        <w:numPr>
          <w:ilvl w:val="0"/>
          <w:numId w:val="16"/>
        </w:numPr>
        <w:spacing w:after="120"/>
        <w:ind w:left="720"/>
        <w:rPr>
          <w:sz w:val="22"/>
          <w:szCs w:val="22"/>
        </w:rPr>
      </w:pPr>
      <w:r>
        <w:rPr>
          <w:sz w:val="22"/>
          <w:szCs w:val="22"/>
        </w:rPr>
        <w:t xml:space="preserve">All required </w:t>
      </w:r>
      <w:r w:rsidR="00307D88">
        <w:rPr>
          <w:sz w:val="22"/>
          <w:szCs w:val="22"/>
        </w:rPr>
        <w:t>CMS measurements (including monitoring data recorded during unavoidable breakdowns);</w:t>
      </w:r>
    </w:p>
    <w:p w:rsidR="00307D88" w:rsidRDefault="00307D88" w:rsidP="005271ED">
      <w:pPr>
        <w:pStyle w:val="ListParagraph"/>
        <w:numPr>
          <w:ilvl w:val="0"/>
          <w:numId w:val="16"/>
        </w:numPr>
        <w:spacing w:after="120"/>
        <w:ind w:left="720"/>
        <w:rPr>
          <w:sz w:val="22"/>
          <w:szCs w:val="22"/>
        </w:rPr>
      </w:pPr>
      <w:r>
        <w:rPr>
          <w:sz w:val="22"/>
          <w:szCs w:val="22"/>
        </w:rPr>
        <w:t>The date and time identifying each period during which the CMS was inoperative except for zero (low-level) and high-level checks;</w:t>
      </w:r>
    </w:p>
    <w:p w:rsidR="00307D88" w:rsidRDefault="00307D88" w:rsidP="005271ED">
      <w:pPr>
        <w:pStyle w:val="ListParagraph"/>
        <w:numPr>
          <w:ilvl w:val="0"/>
          <w:numId w:val="16"/>
        </w:numPr>
        <w:spacing w:after="120"/>
        <w:ind w:left="720"/>
        <w:rPr>
          <w:sz w:val="22"/>
          <w:szCs w:val="22"/>
        </w:rPr>
      </w:pPr>
      <w:r>
        <w:rPr>
          <w:sz w:val="22"/>
          <w:szCs w:val="22"/>
        </w:rPr>
        <w:t>The date and time identifying each period during which the CMS was out of control, as defined in 40 CFR 63.8(c)(7);</w:t>
      </w:r>
    </w:p>
    <w:p w:rsidR="00307D88" w:rsidRDefault="00307D88" w:rsidP="005271ED">
      <w:pPr>
        <w:pStyle w:val="ListParagraph"/>
        <w:numPr>
          <w:ilvl w:val="0"/>
          <w:numId w:val="16"/>
        </w:numPr>
        <w:spacing w:after="120"/>
        <w:ind w:left="720"/>
        <w:rPr>
          <w:sz w:val="22"/>
          <w:szCs w:val="22"/>
        </w:rPr>
      </w:pPr>
      <w:r>
        <w:rPr>
          <w:sz w:val="22"/>
          <w:szCs w:val="22"/>
        </w:rPr>
        <w:t>The specific identification (i.e., the date and time of commencement and completion) of each period of excess parameter monitoring exceedances that occurs during periods other than startups, shutdowns, and malfunctions;</w:t>
      </w:r>
    </w:p>
    <w:p w:rsidR="00307D88" w:rsidRDefault="00307D88" w:rsidP="005271ED">
      <w:pPr>
        <w:pStyle w:val="ListParagraph"/>
        <w:numPr>
          <w:ilvl w:val="0"/>
          <w:numId w:val="16"/>
        </w:numPr>
        <w:spacing w:after="120"/>
        <w:ind w:left="720"/>
        <w:rPr>
          <w:sz w:val="22"/>
          <w:szCs w:val="22"/>
        </w:rPr>
      </w:pPr>
      <w:r>
        <w:rPr>
          <w:sz w:val="22"/>
          <w:szCs w:val="22"/>
        </w:rPr>
        <w:t>The nature and cause of any malfunction (if known);</w:t>
      </w:r>
    </w:p>
    <w:p w:rsidR="00307D88" w:rsidRDefault="00307D88" w:rsidP="005271ED">
      <w:pPr>
        <w:pStyle w:val="ListParagraph"/>
        <w:numPr>
          <w:ilvl w:val="0"/>
          <w:numId w:val="16"/>
        </w:numPr>
        <w:spacing w:after="120"/>
        <w:ind w:left="720"/>
        <w:rPr>
          <w:sz w:val="22"/>
          <w:szCs w:val="22"/>
        </w:rPr>
      </w:pPr>
      <w:r>
        <w:rPr>
          <w:sz w:val="22"/>
          <w:szCs w:val="22"/>
        </w:rPr>
        <w:t>The corrective action taken or preventive measures adopted;</w:t>
      </w:r>
    </w:p>
    <w:p w:rsidR="00307D88" w:rsidRDefault="00307D88" w:rsidP="005271ED">
      <w:pPr>
        <w:pStyle w:val="ListParagraph"/>
        <w:numPr>
          <w:ilvl w:val="0"/>
          <w:numId w:val="16"/>
        </w:numPr>
        <w:spacing w:after="120"/>
        <w:ind w:left="720"/>
        <w:rPr>
          <w:sz w:val="22"/>
          <w:szCs w:val="22"/>
        </w:rPr>
      </w:pPr>
      <w:r>
        <w:rPr>
          <w:sz w:val="22"/>
          <w:szCs w:val="22"/>
        </w:rPr>
        <w:t>The nature of the repairs or adjustments to the CMS that was inoperative or out of control;</w:t>
      </w:r>
    </w:p>
    <w:p w:rsidR="00307D88" w:rsidRDefault="00307D88" w:rsidP="005271ED">
      <w:pPr>
        <w:pStyle w:val="ListParagraph"/>
        <w:numPr>
          <w:ilvl w:val="0"/>
          <w:numId w:val="16"/>
        </w:numPr>
        <w:spacing w:after="120"/>
        <w:ind w:left="720"/>
        <w:rPr>
          <w:sz w:val="22"/>
          <w:szCs w:val="22"/>
        </w:rPr>
      </w:pPr>
      <w:r>
        <w:rPr>
          <w:sz w:val="22"/>
          <w:szCs w:val="22"/>
        </w:rPr>
        <w:t>The total process operating time during the reporting period; and</w:t>
      </w:r>
    </w:p>
    <w:p w:rsidR="00307D88" w:rsidRDefault="00307D88" w:rsidP="005271ED">
      <w:pPr>
        <w:pStyle w:val="ListParagraph"/>
        <w:numPr>
          <w:ilvl w:val="0"/>
          <w:numId w:val="16"/>
        </w:numPr>
        <w:spacing w:after="120"/>
        <w:ind w:left="720"/>
        <w:rPr>
          <w:sz w:val="22"/>
          <w:szCs w:val="22"/>
        </w:rPr>
      </w:pPr>
      <w:r>
        <w:rPr>
          <w:sz w:val="22"/>
          <w:szCs w:val="22"/>
        </w:rPr>
        <w:t>All procedures that are part of a quality control program developed and implemented for CMS under 40 CFR 63.8(d).</w:t>
      </w:r>
    </w:p>
    <w:p w:rsidR="00307D88" w:rsidRDefault="00307D88" w:rsidP="00307D88">
      <w:pPr>
        <w:spacing w:after="120"/>
        <w:ind w:left="360"/>
        <w:rPr>
          <w:i/>
          <w:sz w:val="22"/>
          <w:szCs w:val="22"/>
        </w:rPr>
      </w:pPr>
      <w:r>
        <w:rPr>
          <w:i/>
          <w:sz w:val="22"/>
          <w:szCs w:val="22"/>
        </w:rPr>
        <w:t xml:space="preserve">{Permitting Note:  The requirement of paragraph i. of the above condition is satisfied by the site-specific monitoring plan requirements in Condition </w:t>
      </w:r>
      <w:r w:rsidRPr="00307D88">
        <w:rPr>
          <w:b/>
          <w:i/>
          <w:sz w:val="22"/>
          <w:szCs w:val="22"/>
        </w:rPr>
        <w:fldChar w:fldCharType="begin"/>
      </w:r>
      <w:r w:rsidRPr="00307D88">
        <w:rPr>
          <w:b/>
          <w:i/>
          <w:sz w:val="22"/>
          <w:szCs w:val="22"/>
        </w:rPr>
        <w:instrText xml:space="preserve"> REF _Ref505939550 \r \h </w:instrText>
      </w:r>
      <w:r>
        <w:rPr>
          <w:b/>
          <w:i/>
          <w:sz w:val="22"/>
          <w:szCs w:val="22"/>
        </w:rPr>
        <w:instrText xml:space="preserve"> \* MERGEFORMAT </w:instrText>
      </w:r>
      <w:r w:rsidRPr="00307D88">
        <w:rPr>
          <w:b/>
          <w:i/>
          <w:sz w:val="22"/>
          <w:szCs w:val="22"/>
        </w:rPr>
      </w:r>
      <w:r w:rsidRPr="00307D88">
        <w:rPr>
          <w:b/>
          <w:i/>
          <w:sz w:val="22"/>
          <w:szCs w:val="22"/>
        </w:rPr>
        <w:fldChar w:fldCharType="separate"/>
      </w:r>
      <w:r w:rsidR="003564EB">
        <w:rPr>
          <w:b/>
          <w:i/>
          <w:sz w:val="22"/>
          <w:szCs w:val="22"/>
        </w:rPr>
        <w:t>9</w:t>
      </w:r>
      <w:r w:rsidRPr="00307D88">
        <w:rPr>
          <w:b/>
          <w:i/>
          <w:sz w:val="22"/>
          <w:szCs w:val="22"/>
        </w:rPr>
        <w:fldChar w:fldCharType="end"/>
      </w:r>
      <w:r>
        <w:rPr>
          <w:i/>
          <w:sz w:val="22"/>
          <w:szCs w:val="22"/>
        </w:rPr>
        <w:t xml:space="preserve"> of this section.}</w:t>
      </w:r>
    </w:p>
    <w:p w:rsidR="00FB3F89" w:rsidRPr="00FB3F89" w:rsidRDefault="00FB3F89" w:rsidP="00307D88">
      <w:pPr>
        <w:spacing w:after="120"/>
        <w:ind w:left="360"/>
        <w:rPr>
          <w:sz w:val="22"/>
          <w:szCs w:val="22"/>
        </w:rPr>
      </w:pPr>
      <w:r>
        <w:rPr>
          <w:sz w:val="22"/>
          <w:szCs w:val="22"/>
        </w:rPr>
        <w:t>[Rule 62-204.800, F.A.C.; and 40 CFR 63.6625(b)(1)(v) and 63.10(c)]</w:t>
      </w:r>
    </w:p>
    <w:p w:rsidR="004F7C73" w:rsidRDefault="004F7C73" w:rsidP="005271ED">
      <w:pPr>
        <w:numPr>
          <w:ilvl w:val="0"/>
          <w:numId w:val="9"/>
        </w:numPr>
        <w:spacing w:after="120"/>
        <w:rPr>
          <w:sz w:val="22"/>
          <w:szCs w:val="22"/>
        </w:rPr>
      </w:pPr>
      <w:r>
        <w:rPr>
          <w:sz w:val="22"/>
          <w:szCs w:val="22"/>
          <w:u w:val="single"/>
        </w:rPr>
        <w:t>CPMS Report</w:t>
      </w:r>
      <w:r w:rsidR="008F5E60">
        <w:rPr>
          <w:sz w:val="22"/>
          <w:szCs w:val="22"/>
          <w:u w:val="single"/>
        </w:rPr>
        <w:t>ing Requirement</w:t>
      </w:r>
      <w:r>
        <w:rPr>
          <w:sz w:val="22"/>
          <w:szCs w:val="22"/>
        </w:rPr>
        <w:t xml:space="preserve">:  </w:t>
      </w:r>
      <w:r w:rsidR="007267AC">
        <w:rPr>
          <w:sz w:val="22"/>
          <w:szCs w:val="22"/>
        </w:rPr>
        <w:t xml:space="preserve">The owner or operator of a source required to install </w:t>
      </w:r>
      <w:r w:rsidR="00BF1072">
        <w:rPr>
          <w:sz w:val="22"/>
          <w:szCs w:val="22"/>
        </w:rPr>
        <w:t xml:space="preserve">a CMS (i.e., CPMS) shall furnish the Department a copy of a written report of the results of the CMS performance evaluation </w:t>
      </w:r>
      <w:r w:rsidR="00537D22">
        <w:rPr>
          <w:sz w:val="22"/>
          <w:szCs w:val="22"/>
        </w:rPr>
        <w:t xml:space="preserve">required by Condition </w:t>
      </w:r>
      <w:r w:rsidR="00537D22" w:rsidRPr="00537D22">
        <w:rPr>
          <w:b/>
          <w:sz w:val="22"/>
          <w:szCs w:val="22"/>
        </w:rPr>
        <w:fldChar w:fldCharType="begin"/>
      </w:r>
      <w:r w:rsidR="00537D22" w:rsidRPr="00537D22">
        <w:rPr>
          <w:b/>
          <w:sz w:val="22"/>
          <w:szCs w:val="22"/>
        </w:rPr>
        <w:instrText xml:space="preserve"> REF _Ref505939550 \r \h </w:instrText>
      </w:r>
      <w:r w:rsidR="00537D22">
        <w:rPr>
          <w:b/>
          <w:sz w:val="22"/>
          <w:szCs w:val="22"/>
        </w:rPr>
        <w:instrText xml:space="preserve"> \* MERGEFORMAT </w:instrText>
      </w:r>
      <w:r w:rsidR="00537D22" w:rsidRPr="00537D22">
        <w:rPr>
          <w:b/>
          <w:sz w:val="22"/>
          <w:szCs w:val="22"/>
        </w:rPr>
      </w:r>
      <w:r w:rsidR="00537D22" w:rsidRPr="00537D22">
        <w:rPr>
          <w:b/>
          <w:sz w:val="22"/>
          <w:szCs w:val="22"/>
        </w:rPr>
        <w:fldChar w:fldCharType="separate"/>
      </w:r>
      <w:r w:rsidR="003564EB">
        <w:rPr>
          <w:b/>
          <w:sz w:val="22"/>
          <w:szCs w:val="22"/>
        </w:rPr>
        <w:t>9</w:t>
      </w:r>
      <w:r w:rsidR="00537D22" w:rsidRPr="00537D22">
        <w:rPr>
          <w:b/>
          <w:sz w:val="22"/>
          <w:szCs w:val="22"/>
        </w:rPr>
        <w:fldChar w:fldCharType="end"/>
      </w:r>
      <w:r w:rsidR="00537D22">
        <w:rPr>
          <w:sz w:val="22"/>
          <w:szCs w:val="22"/>
        </w:rPr>
        <w:t xml:space="preserve"> of this section.</w:t>
      </w:r>
      <w:r w:rsidR="00FD21F1">
        <w:rPr>
          <w:sz w:val="22"/>
          <w:szCs w:val="22"/>
        </w:rPr>
        <w:t xml:space="preserve">  [Rule 62-204.800, F.A.C.; and 40 CFR 63.6625(b)(1)(v) and 63.10(e)(2)(i)]</w:t>
      </w:r>
    </w:p>
    <w:p w:rsidR="00291614" w:rsidRDefault="00291614" w:rsidP="005271ED">
      <w:pPr>
        <w:numPr>
          <w:ilvl w:val="0"/>
          <w:numId w:val="9"/>
        </w:numPr>
        <w:spacing w:after="120"/>
        <w:rPr>
          <w:sz w:val="22"/>
          <w:szCs w:val="22"/>
        </w:rPr>
      </w:pPr>
      <w:r>
        <w:rPr>
          <w:sz w:val="22"/>
          <w:szCs w:val="22"/>
          <w:u w:val="single"/>
        </w:rPr>
        <w:t>Maintenance Records</w:t>
      </w:r>
      <w:r>
        <w:rPr>
          <w:sz w:val="22"/>
          <w:szCs w:val="22"/>
        </w:rPr>
        <w:t xml:space="preserve">:  The owner or operator must keep records of the maintenance conducted on this RICE </w:t>
      </w:r>
      <w:proofErr w:type="gramStart"/>
      <w:r>
        <w:rPr>
          <w:sz w:val="22"/>
          <w:szCs w:val="22"/>
        </w:rPr>
        <w:t>in order to</w:t>
      </w:r>
      <w:proofErr w:type="gramEnd"/>
      <w:r>
        <w:rPr>
          <w:sz w:val="22"/>
          <w:szCs w:val="22"/>
        </w:rPr>
        <w:t xml:space="preserve"> demonstrate that the RICE and it pollution control device were operated and maintained according to the facility’s maintenance plan.  [Rule 62-204.800, F.A.C.; and 40 CFR 63.6655(e)(3)]</w:t>
      </w:r>
    </w:p>
    <w:p w:rsidR="003B5274" w:rsidRDefault="003B5274" w:rsidP="005271ED">
      <w:pPr>
        <w:numPr>
          <w:ilvl w:val="0"/>
          <w:numId w:val="9"/>
        </w:numPr>
        <w:spacing w:after="120"/>
        <w:rPr>
          <w:sz w:val="22"/>
          <w:szCs w:val="22"/>
        </w:rPr>
      </w:pPr>
      <w:r>
        <w:rPr>
          <w:sz w:val="22"/>
          <w:szCs w:val="22"/>
          <w:u w:val="single"/>
        </w:rPr>
        <w:t>Records Retention</w:t>
      </w:r>
      <w:r>
        <w:rPr>
          <w:sz w:val="22"/>
          <w:szCs w:val="22"/>
        </w:rPr>
        <w:t xml:space="preserve">:  </w:t>
      </w:r>
      <w:r w:rsidR="001804E4">
        <w:rPr>
          <w:sz w:val="22"/>
          <w:szCs w:val="22"/>
        </w:rPr>
        <w:t>The owner or operator must keep records in a suitable and readily available format for expeditious review.</w:t>
      </w:r>
      <w:r w:rsidR="00B01513">
        <w:rPr>
          <w:sz w:val="22"/>
          <w:szCs w:val="22"/>
        </w:rPr>
        <w:t xml:space="preserve">  Each record must be kept readily accessible in hard copy or electronic format for at least 5 years after the date of each occurrence, measurement, maintenance, corrective action, report, or record.  [Rule 62-204.800, F.A.C.; and 40 CFR 63.6660 and 63.10(b)(1)]</w:t>
      </w:r>
    </w:p>
    <w:p w:rsidR="00DE0930" w:rsidRDefault="00DE0930" w:rsidP="005271ED">
      <w:pPr>
        <w:numPr>
          <w:ilvl w:val="0"/>
          <w:numId w:val="9"/>
        </w:numPr>
        <w:spacing w:after="120"/>
        <w:rPr>
          <w:sz w:val="22"/>
          <w:szCs w:val="22"/>
        </w:rPr>
      </w:pPr>
      <w:bookmarkStart w:id="10" w:name="_Ref506189762"/>
      <w:r>
        <w:rPr>
          <w:sz w:val="22"/>
          <w:szCs w:val="22"/>
          <w:u w:val="single"/>
        </w:rPr>
        <w:t>Fuel Records</w:t>
      </w:r>
      <w:r>
        <w:rPr>
          <w:sz w:val="22"/>
          <w:szCs w:val="22"/>
        </w:rPr>
        <w:t xml:space="preserve">:  </w:t>
      </w:r>
      <w:r w:rsidR="000A01C9">
        <w:rPr>
          <w:sz w:val="22"/>
          <w:szCs w:val="22"/>
        </w:rPr>
        <w:t xml:space="preserve">The owner or operator shall keep records of the amount of fuel consumed by the generators </w:t>
      </w:r>
      <w:proofErr w:type="gramStart"/>
      <w:r w:rsidR="000A01C9">
        <w:rPr>
          <w:sz w:val="22"/>
          <w:szCs w:val="22"/>
        </w:rPr>
        <w:t>on a monthly basis</w:t>
      </w:r>
      <w:proofErr w:type="gramEnd"/>
      <w:r w:rsidR="000A01C9">
        <w:rPr>
          <w:sz w:val="22"/>
          <w:szCs w:val="22"/>
        </w:rPr>
        <w:t xml:space="preserve">.  The owner or operator shall keep records of the types of fuel burned.  The owner or operator shall maintain records to demonstrate that the diesel fuel burned has a sulfur </w:t>
      </w:r>
      <w:r w:rsidR="000A01C9" w:rsidRPr="00666849">
        <w:rPr>
          <w:sz w:val="22"/>
          <w:szCs w:val="22"/>
        </w:rPr>
        <w:t xml:space="preserve">content </w:t>
      </w:r>
      <w:r w:rsidR="00666849" w:rsidRPr="00666849">
        <w:rPr>
          <w:sz w:val="22"/>
          <w:szCs w:val="22"/>
        </w:rPr>
        <w:t>of 15 ppm</w:t>
      </w:r>
      <w:r w:rsidR="000A01C9" w:rsidRPr="00666849">
        <w:rPr>
          <w:sz w:val="22"/>
          <w:szCs w:val="22"/>
        </w:rPr>
        <w:t xml:space="preserve"> or less</w:t>
      </w:r>
      <w:r w:rsidR="000A01C9">
        <w:rPr>
          <w:sz w:val="22"/>
          <w:szCs w:val="22"/>
        </w:rPr>
        <w:t xml:space="preserve"> (by weight).  Certifications from the fuel supplier shall be satisfactory records.  [</w:t>
      </w:r>
      <w:r w:rsidR="003778D9">
        <w:rPr>
          <w:sz w:val="22"/>
          <w:szCs w:val="22"/>
        </w:rPr>
        <w:t xml:space="preserve">Rule 62-204.800, F.A.C.; and 40 CFR 63.6604(b); and </w:t>
      </w:r>
      <w:r w:rsidR="000A01C9">
        <w:rPr>
          <w:sz w:val="22"/>
          <w:szCs w:val="22"/>
        </w:rPr>
        <w:t>Permit No. 0990347-002-AF]</w:t>
      </w:r>
      <w:bookmarkEnd w:id="10"/>
    </w:p>
    <w:p w:rsidR="00DE6A6E" w:rsidRDefault="00C75254" w:rsidP="00C75254">
      <w:pPr>
        <w:spacing w:after="120"/>
        <w:ind w:left="360"/>
        <w:rPr>
          <w:i/>
          <w:sz w:val="22"/>
          <w:szCs w:val="22"/>
        </w:rPr>
      </w:pPr>
      <w:r>
        <w:rPr>
          <w:i/>
          <w:sz w:val="22"/>
          <w:szCs w:val="22"/>
        </w:rPr>
        <w:t xml:space="preserve">{Permitting Note:  </w:t>
      </w:r>
      <w:r w:rsidR="00BF77FA">
        <w:rPr>
          <w:i/>
          <w:sz w:val="22"/>
          <w:szCs w:val="22"/>
        </w:rPr>
        <w:t xml:space="preserve">This condition originally required fuel records to demonstrate compliance with the 0.05% sulfur content restriction.  </w:t>
      </w:r>
      <w:r w:rsidR="00DF3EBE">
        <w:rPr>
          <w:i/>
          <w:sz w:val="22"/>
          <w:szCs w:val="22"/>
        </w:rPr>
        <w:t>Using records to comply with the more stringent federal 15 ppm sulfur restriction will ensure compliance</w:t>
      </w:r>
      <w:r w:rsidR="00B05AC9">
        <w:rPr>
          <w:i/>
          <w:sz w:val="22"/>
          <w:szCs w:val="22"/>
        </w:rPr>
        <w:t xml:space="preserve"> with the 0.05% limitation.  T</w:t>
      </w:r>
      <w:r w:rsidR="00DF3EBE">
        <w:rPr>
          <w:i/>
          <w:sz w:val="22"/>
          <w:szCs w:val="22"/>
        </w:rPr>
        <w:t xml:space="preserve">o avoid confusion, only the </w:t>
      </w:r>
      <w:proofErr w:type="gramStart"/>
      <w:r w:rsidR="00DF3EBE">
        <w:rPr>
          <w:i/>
          <w:sz w:val="22"/>
          <w:szCs w:val="22"/>
        </w:rPr>
        <w:t>15 ppm</w:t>
      </w:r>
      <w:proofErr w:type="gramEnd"/>
      <w:r w:rsidR="00DF3EBE">
        <w:rPr>
          <w:i/>
          <w:sz w:val="22"/>
          <w:szCs w:val="22"/>
        </w:rPr>
        <w:t xml:space="preserve"> limit is included in Condition </w:t>
      </w:r>
      <w:r w:rsidR="00DF3EBE" w:rsidRPr="00DF3EBE">
        <w:rPr>
          <w:b/>
          <w:i/>
          <w:sz w:val="22"/>
          <w:szCs w:val="22"/>
        </w:rPr>
        <w:fldChar w:fldCharType="begin"/>
      </w:r>
      <w:r w:rsidR="00DF3EBE" w:rsidRPr="00DF3EBE">
        <w:rPr>
          <w:b/>
          <w:i/>
          <w:sz w:val="22"/>
          <w:szCs w:val="22"/>
        </w:rPr>
        <w:instrText xml:space="preserve"> REF _Ref506189762 \r \h </w:instrText>
      </w:r>
      <w:r w:rsidR="00DF3EBE">
        <w:rPr>
          <w:b/>
          <w:i/>
          <w:sz w:val="22"/>
          <w:szCs w:val="22"/>
        </w:rPr>
        <w:instrText xml:space="preserve"> \* MERGEFORMAT </w:instrText>
      </w:r>
      <w:r w:rsidR="00DF3EBE" w:rsidRPr="00DF3EBE">
        <w:rPr>
          <w:b/>
          <w:i/>
          <w:sz w:val="22"/>
          <w:szCs w:val="22"/>
        </w:rPr>
      </w:r>
      <w:r w:rsidR="00DF3EBE" w:rsidRPr="00DF3EBE">
        <w:rPr>
          <w:b/>
          <w:i/>
          <w:sz w:val="22"/>
          <w:szCs w:val="22"/>
        </w:rPr>
        <w:fldChar w:fldCharType="separate"/>
      </w:r>
      <w:r w:rsidR="003564EB">
        <w:rPr>
          <w:b/>
          <w:i/>
          <w:sz w:val="22"/>
          <w:szCs w:val="22"/>
        </w:rPr>
        <w:t>18</w:t>
      </w:r>
      <w:r w:rsidR="00DF3EBE" w:rsidRPr="00DF3EBE">
        <w:rPr>
          <w:b/>
          <w:i/>
          <w:sz w:val="22"/>
          <w:szCs w:val="22"/>
        </w:rPr>
        <w:fldChar w:fldCharType="end"/>
      </w:r>
      <w:r w:rsidR="00DF3EBE">
        <w:rPr>
          <w:i/>
          <w:sz w:val="22"/>
          <w:szCs w:val="22"/>
        </w:rPr>
        <w:t>.}</w:t>
      </w:r>
    </w:p>
    <w:p w:rsidR="00474E7B" w:rsidRPr="000A2841" w:rsidRDefault="00B05AC9" w:rsidP="009A2F83">
      <w:pPr>
        <w:numPr>
          <w:ilvl w:val="0"/>
          <w:numId w:val="9"/>
        </w:numPr>
        <w:spacing w:after="120"/>
        <w:rPr>
          <w:sz w:val="22"/>
          <w:szCs w:val="22"/>
        </w:rPr>
      </w:pPr>
      <w:r>
        <w:rPr>
          <w:sz w:val="22"/>
          <w:szCs w:val="22"/>
          <w:u w:val="single"/>
        </w:rPr>
        <w:t>40 CFR 63, Subpart A – General Provisions</w:t>
      </w:r>
      <w:r>
        <w:rPr>
          <w:sz w:val="22"/>
          <w:szCs w:val="22"/>
        </w:rPr>
        <w:t xml:space="preserve">:  </w:t>
      </w:r>
      <w:r w:rsidR="00BD516B">
        <w:rPr>
          <w:sz w:val="22"/>
          <w:szCs w:val="22"/>
        </w:rPr>
        <w:t xml:space="preserve">These </w:t>
      </w:r>
      <w:r w:rsidR="00BD516B" w:rsidRPr="000A2841">
        <w:rPr>
          <w:sz w:val="22"/>
          <w:szCs w:val="22"/>
        </w:rPr>
        <w:t xml:space="preserve">units shall comply with </w:t>
      </w:r>
      <w:r w:rsidR="00474E7B" w:rsidRPr="000A2841">
        <w:rPr>
          <w:sz w:val="22"/>
          <w:szCs w:val="22"/>
        </w:rPr>
        <w:t xml:space="preserve">the applicable requirements of 40 CFR 63, Subpart A, as specified in </w:t>
      </w:r>
      <w:r w:rsidR="000A2841" w:rsidRPr="000A2841">
        <w:rPr>
          <w:sz w:val="22"/>
          <w:szCs w:val="22"/>
        </w:rPr>
        <w:t>Table 8 to Subpart ZZZZ of Part 63</w:t>
      </w:r>
      <w:r w:rsidR="009A2F83" w:rsidRPr="000A2841">
        <w:rPr>
          <w:sz w:val="22"/>
          <w:szCs w:val="22"/>
        </w:rPr>
        <w:t>.</w:t>
      </w:r>
      <w:r w:rsidR="0027038C">
        <w:rPr>
          <w:sz w:val="22"/>
          <w:szCs w:val="22"/>
        </w:rPr>
        <w:t xml:space="preserve">  [Rule 62-204.800, F.A.C.; and 40 CFR 63.6665]</w:t>
      </w:r>
    </w:p>
    <w:p w:rsidR="001A7AB2" w:rsidRDefault="001A7AB2" w:rsidP="001A7AB2">
      <w:pPr>
        <w:spacing w:after="120"/>
        <w:rPr>
          <w:sz w:val="22"/>
          <w:szCs w:val="22"/>
        </w:rPr>
        <w:sectPr w:rsidR="001A7AB2" w:rsidSect="00E1325C">
          <w:headerReference w:type="default" r:id="rId32"/>
          <w:pgSz w:w="12240" w:h="15840" w:code="1"/>
          <w:pgMar w:top="720" w:right="1080" w:bottom="720" w:left="1080" w:header="720" w:footer="432" w:gutter="0"/>
          <w:cols w:space="720"/>
          <w:docGrid w:linePitch="272"/>
        </w:sectPr>
      </w:pPr>
    </w:p>
    <w:p w:rsidR="00EE4B5C" w:rsidRPr="00A61FF4" w:rsidRDefault="00EE4B5C" w:rsidP="00264EFC">
      <w:pPr>
        <w:pStyle w:val="BodyText3"/>
        <w:numPr>
          <w:ilvl w:val="12"/>
          <w:numId w:val="0"/>
        </w:numPr>
        <w:spacing w:after="60"/>
        <w:rPr>
          <w:sz w:val="22"/>
          <w:szCs w:val="22"/>
        </w:rPr>
      </w:pPr>
      <w:r w:rsidRPr="00A61FF4">
        <w:rPr>
          <w:sz w:val="22"/>
          <w:szCs w:val="22"/>
        </w:rPr>
        <w:t xml:space="preserve">This section of the permit addresses the following </w:t>
      </w:r>
      <w:r w:rsidRPr="00A57883">
        <w:rPr>
          <w:sz w:val="22"/>
          <w:szCs w:val="22"/>
        </w:rPr>
        <w:t>emissions unit</w:t>
      </w:r>
      <w:r>
        <w:rPr>
          <w:sz w:val="22"/>
          <w:szCs w:val="22"/>
        </w:rPr>
        <w:t>s</w:t>
      </w:r>
      <w:r w:rsidRPr="00A57883">
        <w:rPr>
          <w:sz w:val="22"/>
          <w:szCs w:val="22"/>
        </w:rPr>
        <w:t>.</w:t>
      </w:r>
    </w:p>
    <w:tbl>
      <w:tblPr>
        <w:tblW w:w="10080" w:type="dxa"/>
        <w:tblInd w:w="-1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90"/>
        <w:gridCol w:w="9090"/>
      </w:tblGrid>
      <w:tr w:rsidR="00EE4B5C" w:rsidRPr="00A57883" w:rsidTr="00336CCC">
        <w:tc>
          <w:tcPr>
            <w:tcW w:w="990" w:type="dxa"/>
            <w:tcBorders>
              <w:top w:val="single" w:sz="12" w:space="0" w:color="auto"/>
              <w:left w:val="single" w:sz="12" w:space="0" w:color="auto"/>
              <w:bottom w:val="single" w:sz="12" w:space="0" w:color="auto"/>
              <w:right w:val="single" w:sz="4" w:space="0" w:color="auto"/>
            </w:tcBorders>
            <w:shd w:val="clear" w:color="auto" w:fill="BDD6EE" w:themeFill="accent1" w:themeFillTint="66"/>
          </w:tcPr>
          <w:p w:rsidR="00EE4B5C" w:rsidRPr="00A57883" w:rsidRDefault="00EE4B5C" w:rsidP="00C74E75">
            <w:pPr>
              <w:jc w:val="center"/>
              <w:rPr>
                <w:b/>
                <w:sz w:val="22"/>
                <w:szCs w:val="22"/>
              </w:rPr>
            </w:pPr>
            <w:r w:rsidRPr="00A57883">
              <w:rPr>
                <w:b/>
                <w:sz w:val="22"/>
                <w:szCs w:val="22"/>
              </w:rPr>
              <w:t>EU No.</w:t>
            </w:r>
          </w:p>
        </w:tc>
        <w:tc>
          <w:tcPr>
            <w:tcW w:w="9090" w:type="dxa"/>
            <w:tcBorders>
              <w:top w:val="single" w:sz="12" w:space="0" w:color="auto"/>
              <w:left w:val="single" w:sz="4" w:space="0" w:color="auto"/>
              <w:bottom w:val="single" w:sz="12" w:space="0" w:color="auto"/>
              <w:right w:val="single" w:sz="12" w:space="0" w:color="auto"/>
            </w:tcBorders>
            <w:shd w:val="clear" w:color="auto" w:fill="BDD6EE" w:themeFill="accent1" w:themeFillTint="66"/>
          </w:tcPr>
          <w:p w:rsidR="00EE4B5C" w:rsidRPr="00A57883" w:rsidRDefault="00EE4B5C" w:rsidP="00C74E75">
            <w:pPr>
              <w:rPr>
                <w:sz w:val="22"/>
                <w:szCs w:val="22"/>
              </w:rPr>
            </w:pPr>
            <w:r w:rsidRPr="00A57883">
              <w:rPr>
                <w:b/>
                <w:sz w:val="22"/>
                <w:szCs w:val="22"/>
              </w:rPr>
              <w:t>Emission Unit Description</w:t>
            </w:r>
          </w:p>
        </w:tc>
      </w:tr>
      <w:tr w:rsidR="00EE4B5C" w:rsidRPr="00A57883" w:rsidTr="00EE4B5C">
        <w:tc>
          <w:tcPr>
            <w:tcW w:w="990" w:type="dxa"/>
            <w:tcBorders>
              <w:top w:val="single" w:sz="12" w:space="0" w:color="auto"/>
              <w:left w:val="single" w:sz="12" w:space="0" w:color="auto"/>
              <w:bottom w:val="single" w:sz="4" w:space="0" w:color="auto"/>
              <w:right w:val="single" w:sz="4" w:space="0" w:color="auto"/>
            </w:tcBorders>
          </w:tcPr>
          <w:p w:rsidR="00EE4B5C" w:rsidRPr="00A57883" w:rsidRDefault="00EE4B5C" w:rsidP="00C74E75">
            <w:pPr>
              <w:jc w:val="center"/>
              <w:rPr>
                <w:sz w:val="22"/>
                <w:szCs w:val="22"/>
              </w:rPr>
            </w:pPr>
            <w:r>
              <w:rPr>
                <w:sz w:val="22"/>
                <w:szCs w:val="22"/>
              </w:rPr>
              <w:t>003</w:t>
            </w:r>
          </w:p>
        </w:tc>
        <w:tc>
          <w:tcPr>
            <w:tcW w:w="9090" w:type="dxa"/>
            <w:tcBorders>
              <w:top w:val="single" w:sz="12" w:space="0" w:color="auto"/>
              <w:left w:val="single" w:sz="4" w:space="0" w:color="auto"/>
              <w:bottom w:val="single" w:sz="4" w:space="0" w:color="auto"/>
              <w:right w:val="single" w:sz="12" w:space="0" w:color="auto"/>
            </w:tcBorders>
          </w:tcPr>
          <w:p w:rsidR="00EE4B5C" w:rsidRPr="00A57883" w:rsidRDefault="00EE4B5C" w:rsidP="00C74E75">
            <w:pPr>
              <w:rPr>
                <w:sz w:val="22"/>
                <w:szCs w:val="22"/>
              </w:rPr>
            </w:pPr>
            <w:r>
              <w:rPr>
                <w:sz w:val="22"/>
                <w:szCs w:val="22"/>
              </w:rPr>
              <w:t>Four Anaerobic Digester Boilers</w:t>
            </w:r>
          </w:p>
        </w:tc>
      </w:tr>
      <w:tr w:rsidR="00EE4B5C" w:rsidRPr="00A57883" w:rsidTr="00EE4B5C">
        <w:tc>
          <w:tcPr>
            <w:tcW w:w="990" w:type="dxa"/>
            <w:tcBorders>
              <w:top w:val="single" w:sz="4" w:space="0" w:color="auto"/>
              <w:left w:val="single" w:sz="12" w:space="0" w:color="auto"/>
              <w:bottom w:val="single" w:sz="12" w:space="0" w:color="auto"/>
              <w:right w:val="single" w:sz="4" w:space="0" w:color="auto"/>
            </w:tcBorders>
          </w:tcPr>
          <w:p w:rsidR="00EE4B5C" w:rsidRDefault="00EE4B5C" w:rsidP="00C74E75">
            <w:pPr>
              <w:jc w:val="center"/>
              <w:rPr>
                <w:sz w:val="22"/>
                <w:szCs w:val="22"/>
              </w:rPr>
            </w:pPr>
            <w:r>
              <w:rPr>
                <w:sz w:val="22"/>
                <w:szCs w:val="22"/>
              </w:rPr>
              <w:t>004</w:t>
            </w:r>
          </w:p>
        </w:tc>
        <w:tc>
          <w:tcPr>
            <w:tcW w:w="9090" w:type="dxa"/>
            <w:tcBorders>
              <w:top w:val="single" w:sz="4" w:space="0" w:color="auto"/>
              <w:left w:val="single" w:sz="4" w:space="0" w:color="auto"/>
              <w:bottom w:val="single" w:sz="12" w:space="0" w:color="auto"/>
              <w:right w:val="single" w:sz="12" w:space="0" w:color="auto"/>
            </w:tcBorders>
          </w:tcPr>
          <w:p w:rsidR="00EE4B5C" w:rsidRPr="00A64841" w:rsidRDefault="00EE4B5C" w:rsidP="00C74E75">
            <w:pPr>
              <w:rPr>
                <w:sz w:val="22"/>
                <w:szCs w:val="22"/>
              </w:rPr>
            </w:pPr>
            <w:r>
              <w:rPr>
                <w:sz w:val="22"/>
                <w:szCs w:val="22"/>
              </w:rPr>
              <w:t>Flare</w:t>
            </w:r>
          </w:p>
        </w:tc>
      </w:tr>
    </w:tbl>
    <w:p w:rsidR="001A7AB2" w:rsidRDefault="003E31AC" w:rsidP="00EE4B5C">
      <w:pPr>
        <w:spacing w:before="120" w:after="120"/>
        <w:rPr>
          <w:sz w:val="22"/>
          <w:szCs w:val="22"/>
        </w:rPr>
      </w:pPr>
      <w:r w:rsidRPr="000327B6">
        <w:rPr>
          <w:sz w:val="22"/>
          <w:szCs w:val="22"/>
        </w:rPr>
        <w:t xml:space="preserve">The four boilers </w:t>
      </w:r>
      <w:r w:rsidR="00D615B3" w:rsidRPr="000327B6">
        <w:rPr>
          <w:sz w:val="22"/>
          <w:szCs w:val="22"/>
        </w:rPr>
        <w:t xml:space="preserve">heat hot water for </w:t>
      </w:r>
      <w:r w:rsidR="000F2186" w:rsidRPr="000327B6">
        <w:rPr>
          <w:sz w:val="22"/>
          <w:szCs w:val="22"/>
        </w:rPr>
        <w:t xml:space="preserve">use within the hot water system for the anaerobic </w:t>
      </w:r>
      <w:r w:rsidR="000327B6" w:rsidRPr="000327B6">
        <w:rPr>
          <w:sz w:val="22"/>
          <w:szCs w:val="22"/>
        </w:rPr>
        <w:t>digestion system.</w:t>
      </w:r>
      <w:r w:rsidR="000327B6">
        <w:rPr>
          <w:sz w:val="22"/>
          <w:szCs w:val="22"/>
        </w:rPr>
        <w:t xml:space="preserve">  </w:t>
      </w:r>
      <w:r w:rsidR="007272DD">
        <w:rPr>
          <w:sz w:val="22"/>
          <w:szCs w:val="22"/>
        </w:rPr>
        <w:t xml:space="preserve">There are two groups of two boilers, and each group has a </w:t>
      </w:r>
      <w:r w:rsidR="00F137CB">
        <w:rPr>
          <w:sz w:val="22"/>
          <w:szCs w:val="22"/>
        </w:rPr>
        <w:t>primary</w:t>
      </w:r>
      <w:r w:rsidR="007272DD">
        <w:rPr>
          <w:sz w:val="22"/>
          <w:szCs w:val="22"/>
        </w:rPr>
        <w:t xml:space="preserve"> boiler and one that remains on standby while the other is in use.  </w:t>
      </w:r>
      <w:r w:rsidR="00396D11">
        <w:rPr>
          <w:sz w:val="22"/>
          <w:szCs w:val="22"/>
        </w:rPr>
        <w:t>The hot water heated by the boilers passes through heat exchangers to raise and maintain the temperature of the digester sludge.</w:t>
      </w:r>
      <w:r w:rsidR="00B82A3E">
        <w:rPr>
          <w:sz w:val="22"/>
          <w:szCs w:val="22"/>
        </w:rPr>
        <w:t xml:space="preserve">  Cooled water returns to the boilers for re-use in the system.</w:t>
      </w:r>
    </w:p>
    <w:p w:rsidR="00AA680D" w:rsidRDefault="0079576E" w:rsidP="00EE4B5C">
      <w:pPr>
        <w:spacing w:before="120" w:after="120"/>
        <w:rPr>
          <w:sz w:val="22"/>
          <w:szCs w:val="22"/>
        </w:rPr>
      </w:pPr>
      <w:r>
        <w:rPr>
          <w:sz w:val="22"/>
          <w:szCs w:val="22"/>
        </w:rPr>
        <w:t>The boilers are manufactured by Cleaver Brooks, and each boiler has a capa</w:t>
      </w:r>
      <w:r w:rsidRPr="00BC4149">
        <w:rPr>
          <w:sz w:val="22"/>
          <w:szCs w:val="22"/>
        </w:rPr>
        <w:t>city of 1.675 MMBtu/hour.</w:t>
      </w:r>
      <w:r w:rsidR="00DD5106" w:rsidRPr="00BC4149">
        <w:rPr>
          <w:sz w:val="22"/>
          <w:szCs w:val="22"/>
        </w:rPr>
        <w:t xml:space="preserve">  The primary fuel is digester gas, with No. </w:t>
      </w:r>
      <w:r w:rsidR="00602BEF" w:rsidRPr="00BC4149">
        <w:rPr>
          <w:sz w:val="22"/>
          <w:szCs w:val="22"/>
        </w:rPr>
        <w:t>2 diesel fuel oil as a backup.</w:t>
      </w:r>
    </w:p>
    <w:p w:rsidR="007B3015" w:rsidRPr="000327B6" w:rsidRDefault="007B3015" w:rsidP="00EE4B5C">
      <w:pPr>
        <w:spacing w:before="120" w:after="120"/>
        <w:rPr>
          <w:sz w:val="22"/>
          <w:szCs w:val="22"/>
        </w:rPr>
      </w:pPr>
      <w:r>
        <w:rPr>
          <w:sz w:val="22"/>
          <w:szCs w:val="22"/>
        </w:rPr>
        <w:t xml:space="preserve">Excess digester gas generated from the digester sludge is </w:t>
      </w:r>
      <w:r w:rsidR="00A27DFC">
        <w:rPr>
          <w:sz w:val="22"/>
          <w:szCs w:val="22"/>
        </w:rPr>
        <w:t>controlled (destroyed) by a flare</w:t>
      </w:r>
      <w:r w:rsidR="001C736C">
        <w:rPr>
          <w:sz w:val="22"/>
          <w:szCs w:val="22"/>
        </w:rPr>
        <w:t xml:space="preserve"> (waste gas burner)</w:t>
      </w:r>
      <w:r w:rsidR="00A27DFC">
        <w:rPr>
          <w:sz w:val="22"/>
          <w:szCs w:val="22"/>
        </w:rPr>
        <w:t>.</w:t>
      </w:r>
      <w:r w:rsidR="001C736C">
        <w:rPr>
          <w:sz w:val="22"/>
          <w:szCs w:val="22"/>
        </w:rPr>
        <w:t xml:space="preserve">  The flare is manufactured by Varec, Model 244W, I.D. No. GB 72011, and the flare has a capacity of 22,250 cubic feet per hour (</w:t>
      </w:r>
      <w:r w:rsidR="00E17D09">
        <w:rPr>
          <w:sz w:val="22"/>
          <w:szCs w:val="22"/>
        </w:rPr>
        <w:t>approximately 371</w:t>
      </w:r>
      <w:r w:rsidR="001C736C">
        <w:rPr>
          <w:sz w:val="22"/>
          <w:szCs w:val="22"/>
        </w:rPr>
        <w:t xml:space="preserve"> cubic feet per minute).</w:t>
      </w:r>
    </w:p>
    <w:p w:rsidR="0010368B" w:rsidRPr="002E3463" w:rsidRDefault="0041598C" w:rsidP="001B2531">
      <w:pPr>
        <w:spacing w:before="120" w:after="240"/>
        <w:rPr>
          <w:i/>
          <w:sz w:val="22"/>
          <w:szCs w:val="22"/>
          <w:highlight w:val="yellow"/>
        </w:rPr>
      </w:pPr>
      <w:r w:rsidRPr="000413A9">
        <w:rPr>
          <w:i/>
          <w:sz w:val="22"/>
          <w:szCs w:val="22"/>
        </w:rPr>
        <w:t xml:space="preserve">{Permitting Notes:  Emissions Unit 003 is </w:t>
      </w:r>
      <w:r w:rsidR="009617F7" w:rsidRPr="000413A9">
        <w:rPr>
          <w:i/>
          <w:sz w:val="22"/>
          <w:szCs w:val="22"/>
        </w:rPr>
        <w:t xml:space="preserve">not subject to any </w:t>
      </w:r>
      <w:r w:rsidR="00A87589" w:rsidRPr="000413A9">
        <w:rPr>
          <w:i/>
          <w:sz w:val="22"/>
          <w:szCs w:val="22"/>
        </w:rPr>
        <w:t xml:space="preserve">unit-specific requirements other than those imposed by previous permits and the requirements outlined in this subsection.  Emissions Unit 003 was previously regulated under Rule 62-296.406, F.A.C. – Fossil Fuel Steam </w:t>
      </w:r>
      <w:r w:rsidR="00A87589" w:rsidRPr="00A613E3">
        <w:rPr>
          <w:i/>
          <w:sz w:val="22"/>
          <w:szCs w:val="22"/>
        </w:rPr>
        <w:t>Generators with Less than 250 Million Btu Per Hour Heat Input, New and Existing Emissions Units.  However, the boilers do not produce steam (they only produce hot water for in-process use) and their primary fuel</w:t>
      </w:r>
      <w:r w:rsidR="0040464A" w:rsidRPr="00A613E3">
        <w:rPr>
          <w:i/>
          <w:sz w:val="22"/>
          <w:szCs w:val="22"/>
        </w:rPr>
        <w:t xml:space="preserve"> (i.e., digester gas)</w:t>
      </w:r>
      <w:r w:rsidR="00A87589" w:rsidRPr="00A613E3">
        <w:rPr>
          <w:i/>
          <w:sz w:val="22"/>
          <w:szCs w:val="22"/>
        </w:rPr>
        <w:t xml:space="preserve"> is not of fossil origin.</w:t>
      </w:r>
      <w:r w:rsidR="000413A9" w:rsidRPr="00A613E3">
        <w:rPr>
          <w:i/>
          <w:sz w:val="22"/>
          <w:szCs w:val="22"/>
        </w:rPr>
        <w:t xml:space="preserve">  Additionally, </w:t>
      </w:r>
      <w:r w:rsidR="00390668" w:rsidRPr="00A613E3">
        <w:rPr>
          <w:i/>
          <w:sz w:val="22"/>
          <w:szCs w:val="22"/>
        </w:rPr>
        <w:t>these boilers will be classified as “gas-fired boilers” if they do not fire diesel fuel for more than 48 hours per calendar year</w:t>
      </w:r>
      <w:r w:rsidR="008B66D9" w:rsidRPr="00A613E3">
        <w:rPr>
          <w:i/>
          <w:sz w:val="22"/>
          <w:szCs w:val="22"/>
        </w:rPr>
        <w:t xml:space="preserve"> for periodic testing, maintenance, or operator training.  Firing of liquid fuels during startup and during periods of gas unavailability are not included in those 48 hours.</w:t>
      </w:r>
      <w:r w:rsidR="00A2458F" w:rsidRPr="00A613E3">
        <w:rPr>
          <w:i/>
          <w:sz w:val="22"/>
          <w:szCs w:val="22"/>
        </w:rPr>
        <w:t xml:space="preserve">  If the boilers are classified as “gas-fired boilers,” then they are not subject to NESHAP 40 CFR 63, Subpart JJJJJJ.</w:t>
      </w:r>
    </w:p>
    <w:p w:rsidR="002E3463" w:rsidRDefault="002E3463" w:rsidP="001B2531">
      <w:pPr>
        <w:spacing w:before="120" w:after="240"/>
        <w:rPr>
          <w:i/>
          <w:sz w:val="22"/>
          <w:szCs w:val="22"/>
        </w:rPr>
      </w:pPr>
      <w:r w:rsidRPr="00333113">
        <w:rPr>
          <w:i/>
          <w:sz w:val="22"/>
          <w:szCs w:val="22"/>
        </w:rPr>
        <w:t>Emissions Unit 004 is</w:t>
      </w:r>
      <w:r w:rsidR="006770C0" w:rsidRPr="00333113">
        <w:rPr>
          <w:i/>
          <w:sz w:val="22"/>
          <w:szCs w:val="22"/>
        </w:rPr>
        <w:t xml:space="preserve"> not subject to </w:t>
      </w:r>
      <w:r w:rsidR="00423FF2" w:rsidRPr="00333113">
        <w:rPr>
          <w:i/>
          <w:sz w:val="22"/>
          <w:szCs w:val="22"/>
        </w:rPr>
        <w:t>any unit specific requirements other than the recordkeeping requirements outlined in this subsection.</w:t>
      </w:r>
      <w:r w:rsidR="00C21A25" w:rsidRPr="00333113">
        <w:rPr>
          <w:i/>
          <w:sz w:val="22"/>
          <w:szCs w:val="22"/>
        </w:rPr>
        <w:t>}</w:t>
      </w:r>
    </w:p>
    <w:p w:rsidR="001B2531" w:rsidRDefault="001B2531" w:rsidP="00EE4B5C">
      <w:pPr>
        <w:spacing w:before="120" w:after="120"/>
        <w:rPr>
          <w:b/>
          <w:sz w:val="22"/>
          <w:szCs w:val="22"/>
        </w:rPr>
      </w:pPr>
      <w:r>
        <w:rPr>
          <w:b/>
          <w:sz w:val="22"/>
          <w:szCs w:val="22"/>
        </w:rPr>
        <w:t>PERFORMANCE RESTRICTIONS</w:t>
      </w:r>
    </w:p>
    <w:p w:rsidR="007A3215" w:rsidRDefault="007A3215" w:rsidP="00D24B73">
      <w:pPr>
        <w:pStyle w:val="ListParagraph"/>
        <w:numPr>
          <w:ilvl w:val="0"/>
          <w:numId w:val="28"/>
        </w:numPr>
        <w:ind w:left="360"/>
        <w:contextualSpacing w:val="0"/>
        <w:rPr>
          <w:sz w:val="22"/>
          <w:szCs w:val="22"/>
        </w:rPr>
      </w:pPr>
      <w:r>
        <w:rPr>
          <w:sz w:val="22"/>
          <w:szCs w:val="22"/>
          <w:u w:val="single"/>
        </w:rPr>
        <w:t>Authorized Fuels</w:t>
      </w:r>
      <w:r w:rsidR="00172CF5">
        <w:rPr>
          <w:sz w:val="22"/>
          <w:szCs w:val="22"/>
        </w:rPr>
        <w:t>:</w:t>
      </w:r>
    </w:p>
    <w:p w:rsidR="00172CF5" w:rsidRDefault="00D24B73" w:rsidP="00D24B73">
      <w:pPr>
        <w:pStyle w:val="ListParagraph"/>
        <w:numPr>
          <w:ilvl w:val="0"/>
          <w:numId w:val="30"/>
        </w:numPr>
        <w:ind w:left="720"/>
        <w:contextualSpacing w:val="0"/>
        <w:rPr>
          <w:sz w:val="22"/>
          <w:szCs w:val="22"/>
        </w:rPr>
      </w:pPr>
      <w:r>
        <w:rPr>
          <w:i/>
          <w:sz w:val="22"/>
          <w:szCs w:val="22"/>
        </w:rPr>
        <w:t>Boilers</w:t>
      </w:r>
      <w:r>
        <w:rPr>
          <w:sz w:val="22"/>
          <w:szCs w:val="22"/>
        </w:rPr>
        <w:t>.  The four boilers are authorized to burn only digester gas and No.</w:t>
      </w:r>
      <w:r w:rsidR="00E160BF">
        <w:rPr>
          <w:sz w:val="22"/>
          <w:szCs w:val="22"/>
        </w:rPr>
        <w:t xml:space="preserve"> </w:t>
      </w:r>
      <w:r>
        <w:rPr>
          <w:sz w:val="22"/>
          <w:szCs w:val="22"/>
        </w:rPr>
        <w:t>2 diesel fuel oil.</w:t>
      </w:r>
    </w:p>
    <w:p w:rsidR="00D24B73" w:rsidRPr="004043EE" w:rsidRDefault="00D24B73" w:rsidP="00D24B73">
      <w:pPr>
        <w:pStyle w:val="ListParagraph"/>
        <w:numPr>
          <w:ilvl w:val="0"/>
          <w:numId w:val="30"/>
        </w:numPr>
        <w:ind w:left="720"/>
        <w:contextualSpacing w:val="0"/>
        <w:rPr>
          <w:sz w:val="22"/>
          <w:szCs w:val="22"/>
        </w:rPr>
      </w:pPr>
      <w:r w:rsidRPr="004043EE">
        <w:rPr>
          <w:i/>
          <w:sz w:val="22"/>
          <w:szCs w:val="22"/>
        </w:rPr>
        <w:t>Flare</w:t>
      </w:r>
      <w:r w:rsidRPr="004043EE">
        <w:rPr>
          <w:sz w:val="22"/>
          <w:szCs w:val="22"/>
        </w:rPr>
        <w:t>.  The flare is authorized to burn only digester gas.</w:t>
      </w:r>
    </w:p>
    <w:p w:rsidR="00D24B73" w:rsidRPr="00D24B73" w:rsidRDefault="002C33CB" w:rsidP="00D24B73">
      <w:pPr>
        <w:spacing w:after="120"/>
        <w:ind w:left="360"/>
        <w:rPr>
          <w:sz w:val="22"/>
          <w:szCs w:val="22"/>
        </w:rPr>
      </w:pPr>
      <w:r w:rsidRPr="004043EE">
        <w:rPr>
          <w:sz w:val="22"/>
          <w:szCs w:val="22"/>
        </w:rPr>
        <w:t>[</w:t>
      </w:r>
      <w:r w:rsidR="006242B2">
        <w:rPr>
          <w:sz w:val="22"/>
          <w:szCs w:val="22"/>
        </w:rPr>
        <w:t xml:space="preserve">Rule 62-210.200(PTE), F.A.C.; and </w:t>
      </w:r>
      <w:r w:rsidRPr="004043EE">
        <w:rPr>
          <w:sz w:val="22"/>
          <w:szCs w:val="22"/>
        </w:rPr>
        <w:t>Permit No. 0990347-001-</w:t>
      </w:r>
      <w:r w:rsidR="0069757B" w:rsidRPr="004043EE">
        <w:rPr>
          <w:sz w:val="22"/>
          <w:szCs w:val="22"/>
        </w:rPr>
        <w:t>AF</w:t>
      </w:r>
      <w:r w:rsidR="00D24B73" w:rsidRPr="004043EE">
        <w:rPr>
          <w:sz w:val="22"/>
          <w:szCs w:val="22"/>
        </w:rPr>
        <w:t>]</w:t>
      </w:r>
    </w:p>
    <w:p w:rsidR="007A3215" w:rsidRDefault="00D74271" w:rsidP="007A3215">
      <w:pPr>
        <w:pStyle w:val="ListParagraph"/>
        <w:numPr>
          <w:ilvl w:val="0"/>
          <w:numId w:val="28"/>
        </w:numPr>
        <w:spacing w:after="120"/>
        <w:ind w:left="360"/>
        <w:contextualSpacing w:val="0"/>
        <w:rPr>
          <w:sz w:val="22"/>
          <w:szCs w:val="22"/>
        </w:rPr>
      </w:pPr>
      <w:r>
        <w:rPr>
          <w:sz w:val="22"/>
          <w:szCs w:val="22"/>
          <w:u w:val="single"/>
        </w:rPr>
        <w:t xml:space="preserve">Sulfur </w:t>
      </w:r>
      <w:r w:rsidRPr="001F21BE">
        <w:rPr>
          <w:sz w:val="22"/>
          <w:szCs w:val="22"/>
          <w:u w:val="single"/>
        </w:rPr>
        <w:t>Content Limitation</w:t>
      </w:r>
      <w:r w:rsidRPr="001F21BE">
        <w:rPr>
          <w:sz w:val="22"/>
          <w:szCs w:val="22"/>
        </w:rPr>
        <w:t xml:space="preserve">:  </w:t>
      </w:r>
      <w:r w:rsidR="005316C2" w:rsidRPr="001F21BE">
        <w:rPr>
          <w:sz w:val="22"/>
          <w:szCs w:val="22"/>
        </w:rPr>
        <w:t>The sulfur content of any diesel fuel burned by the boilers shall not exceed 0.05% by weight.  [</w:t>
      </w:r>
      <w:r w:rsidR="006242B2">
        <w:rPr>
          <w:sz w:val="22"/>
          <w:szCs w:val="22"/>
        </w:rPr>
        <w:t xml:space="preserve">Rule 62-210.200(PTE), F.A.C.; and </w:t>
      </w:r>
      <w:r w:rsidR="00A11F33" w:rsidRPr="001F21BE">
        <w:rPr>
          <w:sz w:val="22"/>
          <w:szCs w:val="22"/>
        </w:rPr>
        <w:t>Permit No. 0990347-004-AC</w:t>
      </w:r>
      <w:r w:rsidR="005316C2" w:rsidRPr="001F21BE">
        <w:rPr>
          <w:sz w:val="22"/>
          <w:szCs w:val="22"/>
        </w:rPr>
        <w:t>]</w:t>
      </w:r>
    </w:p>
    <w:p w:rsidR="005316C2" w:rsidRDefault="00752B04" w:rsidP="007A3215">
      <w:pPr>
        <w:pStyle w:val="ListParagraph"/>
        <w:numPr>
          <w:ilvl w:val="0"/>
          <w:numId w:val="28"/>
        </w:numPr>
        <w:spacing w:after="120"/>
        <w:ind w:left="360"/>
        <w:contextualSpacing w:val="0"/>
        <w:rPr>
          <w:sz w:val="22"/>
          <w:szCs w:val="22"/>
        </w:rPr>
      </w:pPr>
      <w:r>
        <w:rPr>
          <w:sz w:val="22"/>
          <w:szCs w:val="22"/>
          <w:u w:val="single"/>
        </w:rPr>
        <w:t>Hours of Operation</w:t>
      </w:r>
      <w:r>
        <w:rPr>
          <w:sz w:val="22"/>
          <w:szCs w:val="22"/>
        </w:rPr>
        <w:t xml:space="preserve">: </w:t>
      </w:r>
      <w:r w:rsidR="00BC3113">
        <w:rPr>
          <w:sz w:val="22"/>
          <w:szCs w:val="22"/>
        </w:rPr>
        <w:t xml:space="preserve"> </w:t>
      </w:r>
      <w:r w:rsidR="00A11F01">
        <w:rPr>
          <w:sz w:val="22"/>
          <w:szCs w:val="22"/>
        </w:rPr>
        <w:t>The hours of operation for the boilers and the flare are not limited (</w:t>
      </w:r>
      <w:r w:rsidR="00813B6E">
        <w:rPr>
          <w:sz w:val="22"/>
          <w:szCs w:val="22"/>
        </w:rPr>
        <w:t xml:space="preserve">i.e., </w:t>
      </w:r>
      <w:r w:rsidR="00A11F01">
        <w:rPr>
          <w:sz w:val="22"/>
          <w:szCs w:val="22"/>
        </w:rPr>
        <w:t>8,760 hours/year).  [Rule 62-</w:t>
      </w:r>
      <w:r w:rsidR="002F1171">
        <w:rPr>
          <w:sz w:val="22"/>
          <w:szCs w:val="22"/>
        </w:rPr>
        <w:t>210.200(PTE), F.A.C.]</w:t>
      </w:r>
    </w:p>
    <w:p w:rsidR="00AA4478" w:rsidRDefault="001707E9" w:rsidP="005673B2">
      <w:pPr>
        <w:spacing w:after="120"/>
        <w:rPr>
          <w:b/>
          <w:sz w:val="22"/>
          <w:szCs w:val="22"/>
        </w:rPr>
      </w:pPr>
      <w:r>
        <w:rPr>
          <w:b/>
          <w:sz w:val="22"/>
          <w:szCs w:val="22"/>
        </w:rPr>
        <w:t>MONITORING REQUIREMENTS</w:t>
      </w:r>
    </w:p>
    <w:p w:rsidR="001707E9" w:rsidRDefault="001707E9" w:rsidP="001707E9">
      <w:pPr>
        <w:pStyle w:val="ListParagraph"/>
        <w:numPr>
          <w:ilvl w:val="0"/>
          <w:numId w:val="28"/>
        </w:numPr>
        <w:spacing w:after="120"/>
        <w:ind w:left="360"/>
        <w:contextualSpacing w:val="0"/>
        <w:rPr>
          <w:sz w:val="22"/>
          <w:szCs w:val="22"/>
        </w:rPr>
      </w:pPr>
      <w:r>
        <w:rPr>
          <w:sz w:val="22"/>
          <w:szCs w:val="22"/>
          <w:u w:val="single"/>
        </w:rPr>
        <w:t>Hour Meter</w:t>
      </w:r>
      <w:r>
        <w:rPr>
          <w:sz w:val="22"/>
          <w:szCs w:val="22"/>
        </w:rPr>
        <w:t xml:space="preserve">:  </w:t>
      </w:r>
      <w:r w:rsidR="007633E9">
        <w:rPr>
          <w:sz w:val="22"/>
          <w:szCs w:val="22"/>
        </w:rPr>
        <w:t>The owner or operator</w:t>
      </w:r>
      <w:r w:rsidR="00AB3703">
        <w:rPr>
          <w:sz w:val="22"/>
          <w:szCs w:val="22"/>
        </w:rPr>
        <w:t xml:space="preserve"> shall monitor the hours of operation for the boilers and the flare with an hour meter. </w:t>
      </w:r>
      <w:r w:rsidR="007633E9">
        <w:rPr>
          <w:sz w:val="22"/>
          <w:szCs w:val="22"/>
        </w:rPr>
        <w:t xml:space="preserve"> </w:t>
      </w:r>
      <w:r w:rsidR="00A6129B">
        <w:rPr>
          <w:sz w:val="22"/>
          <w:szCs w:val="22"/>
        </w:rPr>
        <w:t>[Permit No. 0990347-004-AC]</w:t>
      </w:r>
    </w:p>
    <w:p w:rsidR="00E90BE0" w:rsidRDefault="00401A89" w:rsidP="001707E9">
      <w:pPr>
        <w:pStyle w:val="ListParagraph"/>
        <w:numPr>
          <w:ilvl w:val="0"/>
          <w:numId w:val="28"/>
        </w:numPr>
        <w:spacing w:after="120"/>
        <w:ind w:left="360"/>
        <w:contextualSpacing w:val="0"/>
        <w:rPr>
          <w:sz w:val="22"/>
          <w:szCs w:val="22"/>
        </w:rPr>
      </w:pPr>
      <w:r>
        <w:rPr>
          <w:sz w:val="22"/>
          <w:szCs w:val="22"/>
          <w:u w:val="single"/>
        </w:rPr>
        <w:t>Fuel Consumption</w:t>
      </w:r>
      <w:r>
        <w:rPr>
          <w:sz w:val="22"/>
          <w:szCs w:val="22"/>
        </w:rPr>
        <w:t xml:space="preserve">:  </w:t>
      </w:r>
      <w:r w:rsidR="006C703C">
        <w:rPr>
          <w:sz w:val="22"/>
          <w:szCs w:val="22"/>
        </w:rPr>
        <w:t>The owner or operator shall monitor fuel consumption by the boilers and the flare by metering the fuel.  [Permit No. 0990347-006-AF]</w:t>
      </w:r>
      <w:r w:rsidR="00E90BE0">
        <w:rPr>
          <w:sz w:val="22"/>
          <w:szCs w:val="22"/>
        </w:rPr>
        <w:br w:type="page"/>
      </w:r>
    </w:p>
    <w:p w:rsidR="001707E9" w:rsidRDefault="007A4AE2" w:rsidP="005673B2">
      <w:pPr>
        <w:spacing w:after="120"/>
        <w:rPr>
          <w:sz w:val="22"/>
          <w:szCs w:val="22"/>
        </w:rPr>
      </w:pPr>
      <w:r>
        <w:rPr>
          <w:b/>
          <w:sz w:val="22"/>
          <w:szCs w:val="22"/>
        </w:rPr>
        <w:t>RECORDS AND REPORTS</w:t>
      </w:r>
    </w:p>
    <w:p w:rsidR="00B56DDE" w:rsidRDefault="00801954" w:rsidP="00B56DDE">
      <w:pPr>
        <w:pStyle w:val="ListParagraph"/>
        <w:numPr>
          <w:ilvl w:val="0"/>
          <w:numId w:val="28"/>
        </w:numPr>
        <w:ind w:left="360"/>
        <w:contextualSpacing w:val="0"/>
        <w:rPr>
          <w:sz w:val="22"/>
          <w:szCs w:val="22"/>
        </w:rPr>
      </w:pPr>
      <w:r>
        <w:rPr>
          <w:sz w:val="22"/>
          <w:szCs w:val="22"/>
          <w:u w:val="single"/>
        </w:rPr>
        <w:t>AOR Supplemental Information</w:t>
      </w:r>
      <w:r>
        <w:rPr>
          <w:sz w:val="22"/>
          <w:szCs w:val="22"/>
        </w:rPr>
        <w:t xml:space="preserve">:  Annual operating reports required in Condition </w:t>
      </w:r>
      <w:r w:rsidRPr="00B708AB">
        <w:rPr>
          <w:b/>
          <w:sz w:val="22"/>
          <w:szCs w:val="22"/>
        </w:rPr>
        <w:fldChar w:fldCharType="begin"/>
      </w:r>
      <w:r w:rsidRPr="00B708AB">
        <w:rPr>
          <w:b/>
          <w:sz w:val="22"/>
          <w:szCs w:val="22"/>
        </w:rPr>
        <w:instrText xml:space="preserve"> REF _Ref513206144 \r \h </w:instrText>
      </w:r>
      <w:r w:rsidR="00B708AB">
        <w:rPr>
          <w:b/>
          <w:sz w:val="22"/>
          <w:szCs w:val="22"/>
        </w:rPr>
        <w:instrText xml:space="preserve"> \* MERGEFORMAT </w:instrText>
      </w:r>
      <w:r w:rsidRPr="00B708AB">
        <w:rPr>
          <w:b/>
          <w:sz w:val="22"/>
          <w:szCs w:val="22"/>
        </w:rPr>
      </w:r>
      <w:r w:rsidRPr="00B708AB">
        <w:rPr>
          <w:b/>
          <w:sz w:val="22"/>
          <w:szCs w:val="22"/>
        </w:rPr>
        <w:fldChar w:fldCharType="separate"/>
      </w:r>
      <w:r w:rsidR="003564EB">
        <w:rPr>
          <w:b/>
          <w:sz w:val="22"/>
          <w:szCs w:val="22"/>
        </w:rPr>
        <w:t>8</w:t>
      </w:r>
      <w:r w:rsidRPr="00B708AB">
        <w:rPr>
          <w:b/>
          <w:sz w:val="22"/>
          <w:szCs w:val="22"/>
        </w:rPr>
        <w:fldChar w:fldCharType="end"/>
      </w:r>
      <w:r>
        <w:rPr>
          <w:sz w:val="22"/>
          <w:szCs w:val="22"/>
        </w:rPr>
        <w:t xml:space="preserve"> of Section 2 of this permit shall include the following supplemental information that was recorded </w:t>
      </w:r>
      <w:r w:rsidR="00B56DDE">
        <w:rPr>
          <w:sz w:val="22"/>
          <w:szCs w:val="22"/>
        </w:rPr>
        <w:t>in the previous calendar year:</w:t>
      </w:r>
    </w:p>
    <w:p w:rsidR="00B56DDE" w:rsidRDefault="00B56DDE" w:rsidP="00B56DDE">
      <w:pPr>
        <w:pStyle w:val="ListParagraph"/>
        <w:numPr>
          <w:ilvl w:val="0"/>
          <w:numId w:val="31"/>
        </w:numPr>
        <w:contextualSpacing w:val="0"/>
        <w:rPr>
          <w:sz w:val="22"/>
          <w:szCs w:val="22"/>
        </w:rPr>
      </w:pPr>
      <w:r>
        <w:rPr>
          <w:sz w:val="22"/>
          <w:szCs w:val="22"/>
        </w:rPr>
        <w:t xml:space="preserve">The </w:t>
      </w:r>
      <w:r w:rsidR="00801954">
        <w:rPr>
          <w:sz w:val="22"/>
          <w:szCs w:val="22"/>
        </w:rPr>
        <w:t xml:space="preserve">highest percent sulfur content (by weight) of diesel fuel </w:t>
      </w:r>
      <w:r>
        <w:rPr>
          <w:sz w:val="22"/>
          <w:szCs w:val="22"/>
        </w:rPr>
        <w:t>received; and</w:t>
      </w:r>
    </w:p>
    <w:p w:rsidR="00B56DDE" w:rsidRDefault="00B56DDE" w:rsidP="00B56DDE">
      <w:pPr>
        <w:pStyle w:val="ListParagraph"/>
        <w:numPr>
          <w:ilvl w:val="0"/>
          <w:numId w:val="31"/>
        </w:numPr>
        <w:contextualSpacing w:val="0"/>
        <w:rPr>
          <w:sz w:val="22"/>
          <w:szCs w:val="22"/>
        </w:rPr>
      </w:pPr>
      <w:r>
        <w:rPr>
          <w:sz w:val="22"/>
          <w:szCs w:val="22"/>
        </w:rPr>
        <w:t>The amount of diesel fuel consumed by the boilers.</w:t>
      </w:r>
    </w:p>
    <w:p w:rsidR="007A4AE2" w:rsidRPr="00B56DDE" w:rsidRDefault="003230B5" w:rsidP="00B56DDE">
      <w:pPr>
        <w:spacing w:after="120"/>
        <w:ind w:left="360"/>
        <w:rPr>
          <w:sz w:val="22"/>
          <w:szCs w:val="22"/>
        </w:rPr>
      </w:pPr>
      <w:r w:rsidRPr="00B56DDE">
        <w:rPr>
          <w:sz w:val="22"/>
          <w:szCs w:val="22"/>
        </w:rPr>
        <w:t>[Permit No. 0990347-004-AC]</w:t>
      </w:r>
    </w:p>
    <w:p w:rsidR="007B3251" w:rsidRDefault="007B3251" w:rsidP="005A496D">
      <w:pPr>
        <w:pStyle w:val="ListParagraph"/>
        <w:numPr>
          <w:ilvl w:val="0"/>
          <w:numId w:val="28"/>
        </w:numPr>
        <w:spacing w:after="120"/>
        <w:ind w:left="360"/>
        <w:contextualSpacing w:val="0"/>
        <w:rPr>
          <w:sz w:val="22"/>
          <w:szCs w:val="22"/>
        </w:rPr>
      </w:pPr>
      <w:r>
        <w:rPr>
          <w:sz w:val="22"/>
          <w:szCs w:val="22"/>
          <w:u w:val="single"/>
        </w:rPr>
        <w:t>Hours of Operation Records</w:t>
      </w:r>
      <w:r>
        <w:rPr>
          <w:sz w:val="22"/>
          <w:szCs w:val="22"/>
        </w:rPr>
        <w:t xml:space="preserve">:  </w:t>
      </w:r>
      <w:r w:rsidR="0077035B">
        <w:rPr>
          <w:sz w:val="22"/>
          <w:szCs w:val="22"/>
        </w:rPr>
        <w:t xml:space="preserve">The owner or operator shall record and maintain records of the hours of operation of the boilers and flare </w:t>
      </w:r>
      <w:proofErr w:type="gramStart"/>
      <w:r w:rsidR="0077035B">
        <w:rPr>
          <w:sz w:val="22"/>
          <w:szCs w:val="22"/>
        </w:rPr>
        <w:t>on a monthly basis</w:t>
      </w:r>
      <w:proofErr w:type="gramEnd"/>
      <w:r w:rsidR="0077035B">
        <w:rPr>
          <w:sz w:val="22"/>
          <w:szCs w:val="22"/>
        </w:rPr>
        <w:t>.</w:t>
      </w:r>
      <w:r w:rsidR="00315295">
        <w:rPr>
          <w:sz w:val="22"/>
          <w:szCs w:val="22"/>
        </w:rPr>
        <w:t xml:space="preserve">  [Permit No. 0990347-001-AF]</w:t>
      </w:r>
    </w:p>
    <w:p w:rsidR="005F2FBE" w:rsidRDefault="005F2FBE" w:rsidP="005A496D">
      <w:pPr>
        <w:pStyle w:val="ListParagraph"/>
        <w:numPr>
          <w:ilvl w:val="0"/>
          <w:numId w:val="28"/>
        </w:numPr>
        <w:spacing w:after="120"/>
        <w:ind w:left="360"/>
        <w:contextualSpacing w:val="0"/>
        <w:rPr>
          <w:sz w:val="22"/>
          <w:szCs w:val="22"/>
        </w:rPr>
      </w:pPr>
      <w:r>
        <w:rPr>
          <w:sz w:val="22"/>
          <w:szCs w:val="22"/>
          <w:u w:val="single"/>
        </w:rPr>
        <w:t>Allowable Fuel Records</w:t>
      </w:r>
      <w:r>
        <w:rPr>
          <w:sz w:val="22"/>
          <w:szCs w:val="22"/>
        </w:rPr>
        <w:t xml:space="preserve">:  </w:t>
      </w:r>
      <w:r w:rsidR="00176D29">
        <w:rPr>
          <w:sz w:val="22"/>
          <w:szCs w:val="22"/>
        </w:rPr>
        <w:t>The owner or operator shall record and maintain records of the types of fuel burned in the boilers.</w:t>
      </w:r>
      <w:r w:rsidR="00E23207">
        <w:rPr>
          <w:sz w:val="22"/>
          <w:szCs w:val="22"/>
        </w:rPr>
        <w:t xml:space="preserve">  The owner or operator shall maintain records to demonstrate that the diesel fuel burned has a sulfur content of 0.05% (by weight) or less.  Certifications from the fuel supplier in accordance with these requirements shall be satisfactory records.  [Permit No. 0990347-004-AC]</w:t>
      </w:r>
    </w:p>
    <w:p w:rsidR="00304FCE" w:rsidRDefault="00304FCE" w:rsidP="005A496D">
      <w:pPr>
        <w:pStyle w:val="ListParagraph"/>
        <w:numPr>
          <w:ilvl w:val="0"/>
          <w:numId w:val="28"/>
        </w:numPr>
        <w:spacing w:after="120"/>
        <w:ind w:left="360"/>
        <w:contextualSpacing w:val="0"/>
        <w:rPr>
          <w:sz w:val="22"/>
          <w:szCs w:val="22"/>
        </w:rPr>
      </w:pPr>
      <w:r>
        <w:rPr>
          <w:sz w:val="22"/>
          <w:szCs w:val="22"/>
          <w:u w:val="single"/>
        </w:rPr>
        <w:t>Fuel Consumption Records</w:t>
      </w:r>
      <w:r>
        <w:rPr>
          <w:sz w:val="22"/>
          <w:szCs w:val="22"/>
        </w:rPr>
        <w:t xml:space="preserve">:  </w:t>
      </w:r>
      <w:r w:rsidR="00AC69E6">
        <w:rPr>
          <w:sz w:val="22"/>
          <w:szCs w:val="22"/>
        </w:rPr>
        <w:t xml:space="preserve">The owner or operator shall record and maintain records of the fuel oil and digester gas consumption </w:t>
      </w:r>
      <w:r w:rsidR="007E3DEC">
        <w:rPr>
          <w:sz w:val="22"/>
          <w:szCs w:val="22"/>
        </w:rPr>
        <w:t>for the boilers and the flare.</w:t>
      </w:r>
      <w:r w:rsidR="00AC69E6">
        <w:rPr>
          <w:sz w:val="22"/>
          <w:szCs w:val="22"/>
        </w:rPr>
        <w:t xml:space="preserve">  [Permit No. 0990347-001-AF]</w:t>
      </w:r>
    </w:p>
    <w:p w:rsidR="006714D3" w:rsidRPr="007B3251" w:rsidRDefault="006714D3" w:rsidP="005A496D">
      <w:pPr>
        <w:pStyle w:val="ListParagraph"/>
        <w:numPr>
          <w:ilvl w:val="0"/>
          <w:numId w:val="28"/>
        </w:numPr>
        <w:spacing w:after="120"/>
        <w:ind w:left="360"/>
        <w:contextualSpacing w:val="0"/>
        <w:rPr>
          <w:sz w:val="22"/>
          <w:szCs w:val="22"/>
        </w:rPr>
      </w:pPr>
      <w:r>
        <w:rPr>
          <w:sz w:val="22"/>
          <w:szCs w:val="22"/>
          <w:u w:val="single"/>
        </w:rPr>
        <w:t>Record Retention</w:t>
      </w:r>
      <w:r>
        <w:rPr>
          <w:sz w:val="22"/>
          <w:szCs w:val="22"/>
        </w:rPr>
        <w:t xml:space="preserve">:  </w:t>
      </w:r>
      <w:r w:rsidR="0083324D">
        <w:rPr>
          <w:sz w:val="22"/>
          <w:szCs w:val="22"/>
        </w:rPr>
        <w:t xml:space="preserve">All records required in this subsection shall be maintained by the owner or operator for a period of </w:t>
      </w:r>
      <w:r w:rsidR="00E92C88">
        <w:rPr>
          <w:sz w:val="22"/>
          <w:szCs w:val="22"/>
        </w:rPr>
        <w:t>5</w:t>
      </w:r>
      <w:r w:rsidR="0083324D">
        <w:rPr>
          <w:sz w:val="22"/>
          <w:szCs w:val="22"/>
        </w:rPr>
        <w:t xml:space="preserve"> years following the date of </w:t>
      </w:r>
      <w:r w:rsidR="00ED1A96">
        <w:rPr>
          <w:sz w:val="22"/>
          <w:szCs w:val="22"/>
        </w:rPr>
        <w:t xml:space="preserve">the </w:t>
      </w:r>
      <w:r w:rsidR="0083324D">
        <w:rPr>
          <w:sz w:val="22"/>
          <w:szCs w:val="22"/>
        </w:rPr>
        <w:t>record.  [Permit No. 0990347-001-AF]</w:t>
      </w:r>
    </w:p>
    <w:p w:rsidR="0057743B" w:rsidRDefault="0057743B" w:rsidP="00384AC1">
      <w:pPr>
        <w:spacing w:before="120" w:after="120"/>
        <w:rPr>
          <w:sz w:val="22"/>
          <w:szCs w:val="22"/>
        </w:rPr>
        <w:sectPr w:rsidR="0057743B" w:rsidSect="00E1325C">
          <w:headerReference w:type="default" r:id="rId33"/>
          <w:footerReference w:type="default" r:id="rId34"/>
          <w:pgSz w:w="12240" w:h="15840" w:code="1"/>
          <w:pgMar w:top="720" w:right="1080" w:bottom="720" w:left="1080" w:header="720" w:footer="432" w:gutter="0"/>
          <w:cols w:space="720"/>
          <w:docGrid w:linePitch="272"/>
        </w:sectPr>
      </w:pPr>
    </w:p>
    <w:p w:rsidR="0057743B" w:rsidRPr="00A61FF4" w:rsidRDefault="0057743B" w:rsidP="00D17FDD">
      <w:pPr>
        <w:pStyle w:val="BodyText3"/>
        <w:numPr>
          <w:ilvl w:val="12"/>
          <w:numId w:val="0"/>
        </w:numPr>
        <w:spacing w:after="60"/>
        <w:rPr>
          <w:sz w:val="22"/>
          <w:szCs w:val="22"/>
        </w:rPr>
      </w:pPr>
      <w:r w:rsidRPr="00A61FF4">
        <w:rPr>
          <w:sz w:val="22"/>
          <w:szCs w:val="22"/>
        </w:rPr>
        <w:t xml:space="preserve">This section of the permit addresses the following </w:t>
      </w:r>
      <w:r w:rsidRPr="00A57883">
        <w:rPr>
          <w:sz w:val="22"/>
          <w:szCs w:val="22"/>
        </w:rPr>
        <w:t>emissions unit.</w:t>
      </w:r>
    </w:p>
    <w:tbl>
      <w:tblPr>
        <w:tblW w:w="10080" w:type="dxa"/>
        <w:tblInd w:w="-1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90"/>
        <w:gridCol w:w="9090"/>
      </w:tblGrid>
      <w:tr w:rsidR="0057743B" w:rsidRPr="00A57883" w:rsidTr="00D74C41">
        <w:tc>
          <w:tcPr>
            <w:tcW w:w="990" w:type="dxa"/>
            <w:tcBorders>
              <w:top w:val="single" w:sz="12" w:space="0" w:color="auto"/>
              <w:left w:val="single" w:sz="12" w:space="0" w:color="auto"/>
              <w:bottom w:val="single" w:sz="12" w:space="0" w:color="auto"/>
              <w:right w:val="single" w:sz="4" w:space="0" w:color="auto"/>
            </w:tcBorders>
            <w:shd w:val="clear" w:color="auto" w:fill="BDD6EE" w:themeFill="accent1" w:themeFillTint="66"/>
          </w:tcPr>
          <w:p w:rsidR="0057743B" w:rsidRPr="00A57883" w:rsidRDefault="0057743B" w:rsidP="00C74E75">
            <w:pPr>
              <w:jc w:val="center"/>
              <w:rPr>
                <w:b/>
                <w:sz w:val="22"/>
                <w:szCs w:val="22"/>
              </w:rPr>
            </w:pPr>
            <w:r w:rsidRPr="00A57883">
              <w:rPr>
                <w:b/>
                <w:sz w:val="22"/>
                <w:szCs w:val="22"/>
              </w:rPr>
              <w:t>EU No.</w:t>
            </w:r>
          </w:p>
        </w:tc>
        <w:tc>
          <w:tcPr>
            <w:tcW w:w="9090" w:type="dxa"/>
            <w:tcBorders>
              <w:top w:val="single" w:sz="12" w:space="0" w:color="auto"/>
              <w:left w:val="single" w:sz="4" w:space="0" w:color="auto"/>
              <w:bottom w:val="single" w:sz="12" w:space="0" w:color="auto"/>
              <w:right w:val="single" w:sz="12" w:space="0" w:color="auto"/>
            </w:tcBorders>
            <w:shd w:val="clear" w:color="auto" w:fill="BDD6EE" w:themeFill="accent1" w:themeFillTint="66"/>
          </w:tcPr>
          <w:p w:rsidR="0057743B" w:rsidRPr="00A57883" w:rsidRDefault="0057743B" w:rsidP="00C74E75">
            <w:pPr>
              <w:rPr>
                <w:sz w:val="22"/>
                <w:szCs w:val="22"/>
              </w:rPr>
            </w:pPr>
            <w:r w:rsidRPr="00A57883">
              <w:rPr>
                <w:b/>
                <w:sz w:val="22"/>
                <w:szCs w:val="22"/>
              </w:rPr>
              <w:t>Emission Unit Description</w:t>
            </w:r>
          </w:p>
        </w:tc>
      </w:tr>
      <w:tr w:rsidR="0057743B" w:rsidRPr="00A57883" w:rsidTr="00C74E75">
        <w:tc>
          <w:tcPr>
            <w:tcW w:w="990" w:type="dxa"/>
            <w:tcBorders>
              <w:top w:val="single" w:sz="4" w:space="0" w:color="auto"/>
              <w:left w:val="single" w:sz="12" w:space="0" w:color="auto"/>
              <w:bottom w:val="single" w:sz="12" w:space="0" w:color="auto"/>
              <w:right w:val="single" w:sz="4" w:space="0" w:color="auto"/>
            </w:tcBorders>
          </w:tcPr>
          <w:p w:rsidR="0057743B" w:rsidRDefault="0057743B" w:rsidP="00C74E75">
            <w:pPr>
              <w:jc w:val="center"/>
              <w:rPr>
                <w:sz w:val="22"/>
                <w:szCs w:val="22"/>
              </w:rPr>
            </w:pPr>
            <w:r>
              <w:rPr>
                <w:sz w:val="22"/>
                <w:szCs w:val="22"/>
              </w:rPr>
              <w:t>005</w:t>
            </w:r>
          </w:p>
        </w:tc>
        <w:tc>
          <w:tcPr>
            <w:tcW w:w="9090" w:type="dxa"/>
            <w:tcBorders>
              <w:top w:val="single" w:sz="4" w:space="0" w:color="auto"/>
              <w:left w:val="single" w:sz="4" w:space="0" w:color="auto"/>
              <w:bottom w:val="single" w:sz="12" w:space="0" w:color="auto"/>
              <w:right w:val="single" w:sz="12" w:space="0" w:color="auto"/>
            </w:tcBorders>
          </w:tcPr>
          <w:p w:rsidR="0057743B" w:rsidRPr="00A64841" w:rsidRDefault="0057743B" w:rsidP="00C74E75">
            <w:pPr>
              <w:rPr>
                <w:sz w:val="22"/>
                <w:szCs w:val="22"/>
              </w:rPr>
            </w:pPr>
            <w:r>
              <w:rPr>
                <w:sz w:val="22"/>
                <w:szCs w:val="22"/>
              </w:rPr>
              <w:t>Two Digester Gas-Fired Generators</w:t>
            </w:r>
          </w:p>
        </w:tc>
      </w:tr>
    </w:tbl>
    <w:p w:rsidR="0057743B" w:rsidRPr="00D74C41" w:rsidRDefault="00D74C41" w:rsidP="0057743B">
      <w:pPr>
        <w:spacing w:before="120" w:after="120"/>
        <w:rPr>
          <w:sz w:val="22"/>
          <w:szCs w:val="22"/>
        </w:rPr>
      </w:pPr>
      <w:r w:rsidRPr="00D74C41">
        <w:rPr>
          <w:sz w:val="22"/>
          <w:szCs w:val="22"/>
        </w:rPr>
        <w:t>This emissions unit is composed of the following equipment:</w:t>
      </w:r>
    </w:p>
    <w:tbl>
      <w:tblPr>
        <w:tblStyle w:val="TableGrid"/>
        <w:tblW w:w="0" w:type="auto"/>
        <w:tblLook w:val="04A0" w:firstRow="1" w:lastRow="0" w:firstColumn="1" w:lastColumn="0" w:noHBand="0" w:noVBand="1"/>
      </w:tblPr>
      <w:tblGrid>
        <w:gridCol w:w="1265"/>
        <w:gridCol w:w="1424"/>
        <w:gridCol w:w="1451"/>
        <w:gridCol w:w="1356"/>
        <w:gridCol w:w="1336"/>
        <w:gridCol w:w="1670"/>
        <w:gridCol w:w="1548"/>
      </w:tblGrid>
      <w:tr w:rsidR="0007069A" w:rsidTr="0007069A">
        <w:trPr>
          <w:trHeight w:val="313"/>
        </w:trPr>
        <w:tc>
          <w:tcPr>
            <w:tcW w:w="1276" w:type="dxa"/>
            <w:vMerge w:val="restart"/>
            <w:tcBorders>
              <w:top w:val="single" w:sz="12" w:space="0" w:color="auto"/>
              <w:left w:val="single" w:sz="12" w:space="0" w:color="auto"/>
            </w:tcBorders>
            <w:shd w:val="clear" w:color="auto" w:fill="BDD6EE" w:themeFill="accent1" w:themeFillTint="66"/>
            <w:vAlign w:val="center"/>
          </w:tcPr>
          <w:p w:rsidR="0007069A" w:rsidRPr="0007069A" w:rsidRDefault="0007069A" w:rsidP="0007069A">
            <w:pPr>
              <w:spacing w:before="120" w:after="120"/>
              <w:jc w:val="center"/>
              <w:rPr>
                <w:b/>
                <w:sz w:val="22"/>
                <w:szCs w:val="22"/>
              </w:rPr>
            </w:pPr>
            <w:r w:rsidRPr="0007069A">
              <w:rPr>
                <w:b/>
                <w:sz w:val="22"/>
                <w:szCs w:val="22"/>
              </w:rPr>
              <w:t>EU No.</w:t>
            </w:r>
          </w:p>
        </w:tc>
        <w:tc>
          <w:tcPr>
            <w:tcW w:w="1425" w:type="dxa"/>
            <w:vMerge w:val="restart"/>
            <w:tcBorders>
              <w:top w:val="single" w:sz="12" w:space="0" w:color="auto"/>
            </w:tcBorders>
            <w:shd w:val="clear" w:color="auto" w:fill="BDD6EE" w:themeFill="accent1" w:themeFillTint="66"/>
            <w:vAlign w:val="center"/>
          </w:tcPr>
          <w:p w:rsidR="0007069A" w:rsidRPr="0007069A" w:rsidRDefault="0007069A" w:rsidP="0007069A">
            <w:pPr>
              <w:spacing w:before="120" w:after="120"/>
              <w:jc w:val="center"/>
              <w:rPr>
                <w:b/>
                <w:sz w:val="22"/>
                <w:szCs w:val="22"/>
              </w:rPr>
            </w:pPr>
            <w:r w:rsidRPr="0007069A">
              <w:rPr>
                <w:b/>
                <w:sz w:val="22"/>
                <w:szCs w:val="22"/>
              </w:rPr>
              <w:t>Horsepower Rating</w:t>
            </w:r>
          </w:p>
        </w:tc>
        <w:tc>
          <w:tcPr>
            <w:tcW w:w="1451" w:type="dxa"/>
            <w:tcBorders>
              <w:top w:val="single" w:sz="12" w:space="0" w:color="auto"/>
            </w:tcBorders>
            <w:shd w:val="clear" w:color="auto" w:fill="BDD6EE" w:themeFill="accent1" w:themeFillTint="66"/>
            <w:vAlign w:val="center"/>
          </w:tcPr>
          <w:p w:rsidR="0007069A" w:rsidRPr="0007069A" w:rsidRDefault="0007069A" w:rsidP="0007069A">
            <w:pPr>
              <w:spacing w:before="120" w:after="120"/>
              <w:jc w:val="center"/>
              <w:rPr>
                <w:b/>
                <w:sz w:val="22"/>
                <w:szCs w:val="22"/>
              </w:rPr>
            </w:pPr>
            <w:r w:rsidRPr="0007069A">
              <w:rPr>
                <w:b/>
                <w:sz w:val="22"/>
                <w:szCs w:val="22"/>
              </w:rPr>
              <w:t>Date of Construction</w:t>
            </w:r>
          </w:p>
        </w:tc>
        <w:tc>
          <w:tcPr>
            <w:tcW w:w="1362" w:type="dxa"/>
            <w:vMerge w:val="restart"/>
            <w:tcBorders>
              <w:top w:val="single" w:sz="12" w:space="0" w:color="auto"/>
            </w:tcBorders>
            <w:shd w:val="clear" w:color="auto" w:fill="BDD6EE" w:themeFill="accent1" w:themeFillTint="66"/>
            <w:vAlign w:val="center"/>
          </w:tcPr>
          <w:p w:rsidR="0007069A" w:rsidRPr="0007069A" w:rsidRDefault="0007069A" w:rsidP="0007069A">
            <w:pPr>
              <w:spacing w:before="120" w:after="120"/>
              <w:jc w:val="center"/>
              <w:rPr>
                <w:b/>
                <w:sz w:val="22"/>
                <w:szCs w:val="22"/>
              </w:rPr>
            </w:pPr>
            <w:r w:rsidRPr="0007069A">
              <w:rPr>
                <w:b/>
                <w:sz w:val="22"/>
                <w:szCs w:val="22"/>
              </w:rPr>
              <w:t>Fuel</w:t>
            </w:r>
            <w:r>
              <w:rPr>
                <w:b/>
                <w:sz w:val="22"/>
                <w:szCs w:val="22"/>
              </w:rPr>
              <w:t xml:space="preserve"> Type</w:t>
            </w:r>
          </w:p>
        </w:tc>
        <w:tc>
          <w:tcPr>
            <w:tcW w:w="1338" w:type="dxa"/>
            <w:vMerge w:val="restart"/>
            <w:tcBorders>
              <w:top w:val="single" w:sz="12" w:space="0" w:color="auto"/>
            </w:tcBorders>
            <w:shd w:val="clear" w:color="auto" w:fill="BDD6EE" w:themeFill="accent1" w:themeFillTint="66"/>
            <w:vAlign w:val="center"/>
          </w:tcPr>
          <w:p w:rsidR="0007069A" w:rsidRPr="0007069A" w:rsidRDefault="0007069A" w:rsidP="0007069A">
            <w:pPr>
              <w:spacing w:before="120" w:after="120"/>
              <w:jc w:val="center"/>
              <w:rPr>
                <w:b/>
                <w:sz w:val="22"/>
                <w:szCs w:val="22"/>
              </w:rPr>
            </w:pPr>
            <w:r w:rsidRPr="0007069A">
              <w:rPr>
                <w:b/>
                <w:sz w:val="22"/>
                <w:szCs w:val="22"/>
              </w:rPr>
              <w:t>Engine Type</w:t>
            </w:r>
          </w:p>
        </w:tc>
        <w:tc>
          <w:tcPr>
            <w:tcW w:w="1670" w:type="dxa"/>
            <w:vMerge w:val="restart"/>
            <w:tcBorders>
              <w:top w:val="single" w:sz="12" w:space="0" w:color="auto"/>
            </w:tcBorders>
            <w:shd w:val="clear" w:color="auto" w:fill="BDD6EE" w:themeFill="accent1" w:themeFillTint="66"/>
            <w:vAlign w:val="center"/>
          </w:tcPr>
          <w:p w:rsidR="0007069A" w:rsidRPr="0007069A" w:rsidRDefault="0007069A" w:rsidP="0007069A">
            <w:pPr>
              <w:spacing w:before="120" w:after="120"/>
              <w:jc w:val="center"/>
              <w:rPr>
                <w:b/>
                <w:sz w:val="22"/>
                <w:szCs w:val="22"/>
              </w:rPr>
            </w:pPr>
            <w:r w:rsidRPr="0007069A">
              <w:rPr>
                <w:b/>
                <w:sz w:val="22"/>
                <w:szCs w:val="22"/>
              </w:rPr>
              <w:t>Displacement (liters/cylinder)</w:t>
            </w:r>
          </w:p>
        </w:tc>
        <w:tc>
          <w:tcPr>
            <w:tcW w:w="1548" w:type="dxa"/>
            <w:tcBorders>
              <w:top w:val="single" w:sz="12" w:space="0" w:color="auto"/>
              <w:right w:val="single" w:sz="12" w:space="0" w:color="auto"/>
            </w:tcBorders>
            <w:shd w:val="clear" w:color="auto" w:fill="BDD6EE" w:themeFill="accent1" w:themeFillTint="66"/>
            <w:vAlign w:val="center"/>
          </w:tcPr>
          <w:p w:rsidR="0007069A" w:rsidRPr="0007069A" w:rsidRDefault="0007069A" w:rsidP="0007069A">
            <w:pPr>
              <w:spacing w:before="120" w:after="120"/>
              <w:jc w:val="center"/>
              <w:rPr>
                <w:b/>
                <w:sz w:val="22"/>
                <w:szCs w:val="22"/>
              </w:rPr>
            </w:pPr>
            <w:r w:rsidRPr="0007069A">
              <w:rPr>
                <w:b/>
                <w:sz w:val="22"/>
                <w:szCs w:val="22"/>
              </w:rPr>
              <w:t>Manufacturer</w:t>
            </w:r>
          </w:p>
        </w:tc>
      </w:tr>
      <w:tr w:rsidR="0007069A" w:rsidTr="0007069A">
        <w:trPr>
          <w:trHeight w:val="313"/>
        </w:trPr>
        <w:tc>
          <w:tcPr>
            <w:tcW w:w="1276" w:type="dxa"/>
            <w:vMerge/>
            <w:tcBorders>
              <w:left w:val="single" w:sz="12" w:space="0" w:color="auto"/>
              <w:bottom w:val="single" w:sz="12" w:space="0" w:color="auto"/>
            </w:tcBorders>
            <w:shd w:val="clear" w:color="auto" w:fill="BDD6EE" w:themeFill="accent1" w:themeFillTint="66"/>
            <w:vAlign w:val="center"/>
          </w:tcPr>
          <w:p w:rsidR="0007069A" w:rsidRPr="0007069A" w:rsidRDefault="0007069A" w:rsidP="0007069A">
            <w:pPr>
              <w:spacing w:before="120" w:after="120"/>
              <w:jc w:val="center"/>
              <w:rPr>
                <w:b/>
                <w:sz w:val="22"/>
                <w:szCs w:val="22"/>
              </w:rPr>
            </w:pPr>
          </w:p>
        </w:tc>
        <w:tc>
          <w:tcPr>
            <w:tcW w:w="1425" w:type="dxa"/>
            <w:vMerge/>
            <w:tcBorders>
              <w:bottom w:val="single" w:sz="12" w:space="0" w:color="auto"/>
            </w:tcBorders>
            <w:shd w:val="clear" w:color="auto" w:fill="BDD6EE" w:themeFill="accent1" w:themeFillTint="66"/>
            <w:vAlign w:val="center"/>
          </w:tcPr>
          <w:p w:rsidR="0007069A" w:rsidRPr="0007069A" w:rsidRDefault="0007069A" w:rsidP="0007069A">
            <w:pPr>
              <w:spacing w:before="120" w:after="120"/>
              <w:jc w:val="center"/>
              <w:rPr>
                <w:b/>
                <w:sz w:val="22"/>
                <w:szCs w:val="22"/>
              </w:rPr>
            </w:pPr>
          </w:p>
        </w:tc>
        <w:tc>
          <w:tcPr>
            <w:tcW w:w="1451" w:type="dxa"/>
            <w:tcBorders>
              <w:bottom w:val="single" w:sz="12" w:space="0" w:color="auto"/>
            </w:tcBorders>
            <w:shd w:val="clear" w:color="auto" w:fill="BDD6EE" w:themeFill="accent1" w:themeFillTint="66"/>
            <w:vAlign w:val="center"/>
          </w:tcPr>
          <w:p w:rsidR="0007069A" w:rsidRPr="0007069A" w:rsidRDefault="0007069A" w:rsidP="0007069A">
            <w:pPr>
              <w:spacing w:before="120" w:after="120"/>
              <w:jc w:val="center"/>
              <w:rPr>
                <w:b/>
                <w:sz w:val="22"/>
                <w:szCs w:val="22"/>
              </w:rPr>
            </w:pPr>
            <w:r w:rsidRPr="0007069A">
              <w:rPr>
                <w:b/>
                <w:sz w:val="22"/>
                <w:szCs w:val="22"/>
              </w:rPr>
              <w:t>Startup Date</w:t>
            </w:r>
          </w:p>
        </w:tc>
        <w:tc>
          <w:tcPr>
            <w:tcW w:w="1362" w:type="dxa"/>
            <w:vMerge/>
            <w:tcBorders>
              <w:bottom w:val="single" w:sz="12" w:space="0" w:color="auto"/>
            </w:tcBorders>
            <w:shd w:val="clear" w:color="auto" w:fill="BDD6EE" w:themeFill="accent1" w:themeFillTint="66"/>
            <w:vAlign w:val="center"/>
          </w:tcPr>
          <w:p w:rsidR="0007069A" w:rsidRPr="0007069A" w:rsidRDefault="0007069A" w:rsidP="0007069A">
            <w:pPr>
              <w:spacing w:before="120" w:after="120"/>
              <w:jc w:val="center"/>
              <w:rPr>
                <w:b/>
                <w:sz w:val="22"/>
                <w:szCs w:val="22"/>
              </w:rPr>
            </w:pPr>
          </w:p>
        </w:tc>
        <w:tc>
          <w:tcPr>
            <w:tcW w:w="1338" w:type="dxa"/>
            <w:vMerge/>
            <w:tcBorders>
              <w:bottom w:val="single" w:sz="12" w:space="0" w:color="auto"/>
            </w:tcBorders>
            <w:shd w:val="clear" w:color="auto" w:fill="BDD6EE" w:themeFill="accent1" w:themeFillTint="66"/>
            <w:vAlign w:val="center"/>
          </w:tcPr>
          <w:p w:rsidR="0007069A" w:rsidRPr="0007069A" w:rsidRDefault="0007069A" w:rsidP="0007069A">
            <w:pPr>
              <w:spacing w:before="120" w:after="120"/>
              <w:jc w:val="center"/>
              <w:rPr>
                <w:b/>
                <w:sz w:val="22"/>
                <w:szCs w:val="22"/>
              </w:rPr>
            </w:pPr>
          </w:p>
        </w:tc>
        <w:tc>
          <w:tcPr>
            <w:tcW w:w="1670" w:type="dxa"/>
            <w:vMerge/>
            <w:tcBorders>
              <w:bottom w:val="single" w:sz="12" w:space="0" w:color="auto"/>
            </w:tcBorders>
            <w:shd w:val="clear" w:color="auto" w:fill="BDD6EE" w:themeFill="accent1" w:themeFillTint="66"/>
            <w:vAlign w:val="center"/>
          </w:tcPr>
          <w:p w:rsidR="0007069A" w:rsidRPr="0007069A" w:rsidRDefault="0007069A" w:rsidP="0007069A">
            <w:pPr>
              <w:spacing w:before="120" w:after="120"/>
              <w:jc w:val="center"/>
              <w:rPr>
                <w:b/>
                <w:sz w:val="22"/>
                <w:szCs w:val="22"/>
              </w:rPr>
            </w:pPr>
          </w:p>
        </w:tc>
        <w:tc>
          <w:tcPr>
            <w:tcW w:w="1548" w:type="dxa"/>
            <w:tcBorders>
              <w:bottom w:val="single" w:sz="12" w:space="0" w:color="auto"/>
              <w:right w:val="single" w:sz="12" w:space="0" w:color="auto"/>
            </w:tcBorders>
            <w:shd w:val="clear" w:color="auto" w:fill="BDD6EE" w:themeFill="accent1" w:themeFillTint="66"/>
            <w:vAlign w:val="center"/>
          </w:tcPr>
          <w:p w:rsidR="0007069A" w:rsidRPr="0007069A" w:rsidRDefault="0007069A" w:rsidP="0007069A">
            <w:pPr>
              <w:spacing w:before="120" w:after="120"/>
              <w:jc w:val="center"/>
              <w:rPr>
                <w:b/>
                <w:sz w:val="22"/>
                <w:szCs w:val="22"/>
              </w:rPr>
            </w:pPr>
            <w:r w:rsidRPr="0007069A">
              <w:rPr>
                <w:b/>
                <w:sz w:val="22"/>
                <w:szCs w:val="22"/>
              </w:rPr>
              <w:t>Model #</w:t>
            </w:r>
          </w:p>
        </w:tc>
      </w:tr>
      <w:tr w:rsidR="0007069A" w:rsidTr="0007069A">
        <w:trPr>
          <w:trHeight w:val="207"/>
        </w:trPr>
        <w:tc>
          <w:tcPr>
            <w:tcW w:w="1276" w:type="dxa"/>
            <w:vMerge w:val="restart"/>
            <w:tcBorders>
              <w:top w:val="single" w:sz="12" w:space="0" w:color="auto"/>
              <w:left w:val="single" w:sz="12" w:space="0" w:color="auto"/>
            </w:tcBorders>
            <w:vAlign w:val="center"/>
          </w:tcPr>
          <w:p w:rsidR="0007069A" w:rsidRPr="0007069A" w:rsidRDefault="0007069A" w:rsidP="0007069A">
            <w:pPr>
              <w:spacing w:before="120" w:after="120"/>
              <w:jc w:val="center"/>
              <w:rPr>
                <w:sz w:val="22"/>
                <w:szCs w:val="22"/>
              </w:rPr>
            </w:pPr>
            <w:r>
              <w:rPr>
                <w:sz w:val="22"/>
                <w:szCs w:val="22"/>
              </w:rPr>
              <w:t>005</w:t>
            </w:r>
          </w:p>
        </w:tc>
        <w:tc>
          <w:tcPr>
            <w:tcW w:w="1425" w:type="dxa"/>
            <w:vMerge w:val="restart"/>
            <w:tcBorders>
              <w:top w:val="single" w:sz="12" w:space="0" w:color="auto"/>
            </w:tcBorders>
            <w:vAlign w:val="center"/>
          </w:tcPr>
          <w:p w:rsidR="0007069A" w:rsidRPr="0007069A" w:rsidRDefault="0007069A" w:rsidP="0007069A">
            <w:pPr>
              <w:spacing w:before="120" w:after="120"/>
              <w:jc w:val="center"/>
              <w:rPr>
                <w:sz w:val="22"/>
                <w:szCs w:val="22"/>
              </w:rPr>
            </w:pPr>
            <w:r>
              <w:rPr>
                <w:sz w:val="22"/>
                <w:szCs w:val="22"/>
              </w:rPr>
              <w:t>530</w:t>
            </w:r>
          </w:p>
        </w:tc>
        <w:tc>
          <w:tcPr>
            <w:tcW w:w="1451" w:type="dxa"/>
            <w:tcBorders>
              <w:top w:val="single" w:sz="12" w:space="0" w:color="auto"/>
            </w:tcBorders>
            <w:vAlign w:val="center"/>
          </w:tcPr>
          <w:p w:rsidR="0007069A" w:rsidRPr="0007069A" w:rsidRDefault="0007069A" w:rsidP="0007069A">
            <w:pPr>
              <w:spacing w:before="120" w:after="120"/>
              <w:jc w:val="center"/>
              <w:rPr>
                <w:sz w:val="22"/>
                <w:szCs w:val="22"/>
              </w:rPr>
            </w:pPr>
            <w:r>
              <w:rPr>
                <w:sz w:val="22"/>
                <w:szCs w:val="22"/>
              </w:rPr>
              <w:t>After 07/01/2010</w:t>
            </w:r>
          </w:p>
        </w:tc>
        <w:tc>
          <w:tcPr>
            <w:tcW w:w="1362" w:type="dxa"/>
            <w:vMerge w:val="restart"/>
            <w:tcBorders>
              <w:top w:val="single" w:sz="12" w:space="0" w:color="auto"/>
            </w:tcBorders>
            <w:vAlign w:val="center"/>
          </w:tcPr>
          <w:p w:rsidR="0007069A" w:rsidRPr="0007069A" w:rsidRDefault="0007069A" w:rsidP="0007069A">
            <w:pPr>
              <w:spacing w:before="120" w:after="120"/>
              <w:jc w:val="center"/>
              <w:rPr>
                <w:sz w:val="22"/>
                <w:szCs w:val="22"/>
              </w:rPr>
            </w:pPr>
            <w:r>
              <w:rPr>
                <w:sz w:val="22"/>
                <w:szCs w:val="22"/>
              </w:rPr>
              <w:t>Digester Gas</w:t>
            </w:r>
          </w:p>
        </w:tc>
        <w:tc>
          <w:tcPr>
            <w:tcW w:w="1338" w:type="dxa"/>
            <w:vMerge w:val="restart"/>
            <w:tcBorders>
              <w:top w:val="single" w:sz="12" w:space="0" w:color="auto"/>
            </w:tcBorders>
            <w:vAlign w:val="center"/>
          </w:tcPr>
          <w:p w:rsidR="0007069A" w:rsidRPr="0007069A" w:rsidRDefault="0007069A" w:rsidP="0007069A">
            <w:pPr>
              <w:spacing w:before="120" w:after="120"/>
              <w:jc w:val="center"/>
              <w:rPr>
                <w:sz w:val="22"/>
                <w:szCs w:val="22"/>
              </w:rPr>
            </w:pPr>
            <w:r>
              <w:rPr>
                <w:sz w:val="22"/>
                <w:szCs w:val="22"/>
              </w:rPr>
              <w:t>Non-Emergency Spark Ignition</w:t>
            </w:r>
          </w:p>
        </w:tc>
        <w:tc>
          <w:tcPr>
            <w:tcW w:w="1670" w:type="dxa"/>
            <w:vMerge w:val="restart"/>
            <w:tcBorders>
              <w:top w:val="single" w:sz="12" w:space="0" w:color="auto"/>
            </w:tcBorders>
            <w:vAlign w:val="center"/>
          </w:tcPr>
          <w:p w:rsidR="0007069A" w:rsidRPr="0007069A" w:rsidRDefault="0007069A" w:rsidP="0007069A">
            <w:pPr>
              <w:spacing w:before="120" w:after="120"/>
              <w:jc w:val="center"/>
              <w:rPr>
                <w:sz w:val="22"/>
                <w:szCs w:val="22"/>
              </w:rPr>
            </w:pPr>
            <w:r>
              <w:rPr>
                <w:sz w:val="22"/>
                <w:szCs w:val="22"/>
              </w:rPr>
              <w:t>3.0</w:t>
            </w:r>
          </w:p>
        </w:tc>
        <w:tc>
          <w:tcPr>
            <w:tcW w:w="1548" w:type="dxa"/>
            <w:tcBorders>
              <w:top w:val="single" w:sz="12" w:space="0" w:color="auto"/>
              <w:right w:val="single" w:sz="12" w:space="0" w:color="auto"/>
            </w:tcBorders>
            <w:vAlign w:val="center"/>
          </w:tcPr>
          <w:p w:rsidR="0007069A" w:rsidRPr="0007069A" w:rsidRDefault="0007069A" w:rsidP="0007069A">
            <w:pPr>
              <w:spacing w:before="120" w:after="120"/>
              <w:jc w:val="center"/>
              <w:rPr>
                <w:sz w:val="22"/>
                <w:szCs w:val="22"/>
              </w:rPr>
            </w:pPr>
            <w:r>
              <w:rPr>
                <w:sz w:val="22"/>
                <w:szCs w:val="22"/>
              </w:rPr>
              <w:t>Dresser Waukesha</w:t>
            </w:r>
          </w:p>
        </w:tc>
      </w:tr>
      <w:tr w:rsidR="0007069A" w:rsidTr="0007069A">
        <w:trPr>
          <w:trHeight w:val="206"/>
        </w:trPr>
        <w:tc>
          <w:tcPr>
            <w:tcW w:w="1276" w:type="dxa"/>
            <w:vMerge/>
            <w:tcBorders>
              <w:left w:val="single" w:sz="12" w:space="0" w:color="auto"/>
              <w:bottom w:val="single" w:sz="12" w:space="0" w:color="auto"/>
            </w:tcBorders>
            <w:vAlign w:val="center"/>
          </w:tcPr>
          <w:p w:rsidR="0007069A" w:rsidRDefault="0007069A" w:rsidP="0007069A">
            <w:pPr>
              <w:spacing w:before="120" w:after="120"/>
              <w:jc w:val="center"/>
              <w:rPr>
                <w:sz w:val="22"/>
                <w:szCs w:val="22"/>
              </w:rPr>
            </w:pPr>
          </w:p>
        </w:tc>
        <w:tc>
          <w:tcPr>
            <w:tcW w:w="1425" w:type="dxa"/>
            <w:vMerge/>
            <w:tcBorders>
              <w:bottom w:val="single" w:sz="12" w:space="0" w:color="auto"/>
            </w:tcBorders>
            <w:vAlign w:val="center"/>
          </w:tcPr>
          <w:p w:rsidR="0007069A" w:rsidRDefault="0007069A" w:rsidP="0007069A">
            <w:pPr>
              <w:spacing w:before="120" w:after="120"/>
              <w:jc w:val="center"/>
              <w:rPr>
                <w:sz w:val="22"/>
                <w:szCs w:val="22"/>
              </w:rPr>
            </w:pPr>
          </w:p>
        </w:tc>
        <w:tc>
          <w:tcPr>
            <w:tcW w:w="1451" w:type="dxa"/>
            <w:tcBorders>
              <w:bottom w:val="single" w:sz="12" w:space="0" w:color="auto"/>
            </w:tcBorders>
            <w:vAlign w:val="center"/>
          </w:tcPr>
          <w:p w:rsidR="0007069A" w:rsidRPr="0007069A" w:rsidRDefault="0007069A" w:rsidP="0007069A">
            <w:pPr>
              <w:spacing w:before="120" w:after="120"/>
              <w:jc w:val="center"/>
              <w:rPr>
                <w:sz w:val="22"/>
                <w:szCs w:val="22"/>
              </w:rPr>
            </w:pPr>
            <w:r>
              <w:rPr>
                <w:sz w:val="22"/>
                <w:szCs w:val="22"/>
              </w:rPr>
              <w:t>06/02/2014</w:t>
            </w:r>
          </w:p>
        </w:tc>
        <w:tc>
          <w:tcPr>
            <w:tcW w:w="1362" w:type="dxa"/>
            <w:vMerge/>
            <w:tcBorders>
              <w:bottom w:val="single" w:sz="12" w:space="0" w:color="auto"/>
            </w:tcBorders>
            <w:vAlign w:val="center"/>
          </w:tcPr>
          <w:p w:rsidR="0007069A" w:rsidRPr="0007069A" w:rsidRDefault="0007069A" w:rsidP="0007069A">
            <w:pPr>
              <w:spacing w:before="120" w:after="120"/>
              <w:jc w:val="center"/>
              <w:rPr>
                <w:sz w:val="22"/>
                <w:szCs w:val="22"/>
              </w:rPr>
            </w:pPr>
          </w:p>
        </w:tc>
        <w:tc>
          <w:tcPr>
            <w:tcW w:w="1338" w:type="dxa"/>
            <w:vMerge/>
            <w:tcBorders>
              <w:bottom w:val="single" w:sz="12" w:space="0" w:color="auto"/>
            </w:tcBorders>
            <w:vAlign w:val="center"/>
          </w:tcPr>
          <w:p w:rsidR="0007069A" w:rsidRPr="0007069A" w:rsidRDefault="0007069A" w:rsidP="0007069A">
            <w:pPr>
              <w:spacing w:before="120" w:after="120"/>
              <w:jc w:val="center"/>
              <w:rPr>
                <w:sz w:val="22"/>
                <w:szCs w:val="22"/>
              </w:rPr>
            </w:pPr>
          </w:p>
        </w:tc>
        <w:tc>
          <w:tcPr>
            <w:tcW w:w="1670" w:type="dxa"/>
            <w:vMerge/>
            <w:tcBorders>
              <w:bottom w:val="single" w:sz="12" w:space="0" w:color="auto"/>
            </w:tcBorders>
            <w:vAlign w:val="center"/>
          </w:tcPr>
          <w:p w:rsidR="0007069A" w:rsidRPr="0007069A" w:rsidRDefault="0007069A" w:rsidP="0007069A">
            <w:pPr>
              <w:spacing w:before="120" w:after="120"/>
              <w:jc w:val="center"/>
              <w:rPr>
                <w:sz w:val="22"/>
                <w:szCs w:val="22"/>
              </w:rPr>
            </w:pPr>
          </w:p>
        </w:tc>
        <w:tc>
          <w:tcPr>
            <w:tcW w:w="1548" w:type="dxa"/>
            <w:tcBorders>
              <w:bottom w:val="single" w:sz="12" w:space="0" w:color="auto"/>
              <w:right w:val="single" w:sz="12" w:space="0" w:color="auto"/>
            </w:tcBorders>
            <w:vAlign w:val="center"/>
          </w:tcPr>
          <w:p w:rsidR="0007069A" w:rsidRPr="0007069A" w:rsidRDefault="0007069A" w:rsidP="0007069A">
            <w:pPr>
              <w:spacing w:before="120" w:after="120"/>
              <w:jc w:val="center"/>
              <w:rPr>
                <w:sz w:val="22"/>
                <w:szCs w:val="22"/>
              </w:rPr>
            </w:pPr>
            <w:r>
              <w:rPr>
                <w:sz w:val="22"/>
                <w:szCs w:val="22"/>
              </w:rPr>
              <w:t>VGF24GL</w:t>
            </w:r>
          </w:p>
        </w:tc>
      </w:tr>
    </w:tbl>
    <w:p w:rsidR="0057743B" w:rsidRDefault="0057743B" w:rsidP="0057743B">
      <w:pPr>
        <w:spacing w:before="120" w:after="240"/>
        <w:rPr>
          <w:i/>
          <w:sz w:val="22"/>
          <w:szCs w:val="22"/>
        </w:rPr>
      </w:pPr>
      <w:r w:rsidRPr="008B0762">
        <w:rPr>
          <w:i/>
          <w:sz w:val="22"/>
          <w:szCs w:val="22"/>
        </w:rPr>
        <w:t>{</w:t>
      </w:r>
      <w:r w:rsidR="007136DF">
        <w:rPr>
          <w:i/>
          <w:sz w:val="22"/>
          <w:szCs w:val="22"/>
        </w:rPr>
        <w:t xml:space="preserve">Permitting Notes:  </w:t>
      </w:r>
      <w:r w:rsidR="007516E0" w:rsidRPr="008B0762">
        <w:rPr>
          <w:i/>
          <w:sz w:val="22"/>
          <w:szCs w:val="22"/>
        </w:rPr>
        <w:t>Emissions Unit 005 is subject</w:t>
      </w:r>
      <w:r w:rsidR="007516E0">
        <w:rPr>
          <w:i/>
          <w:sz w:val="22"/>
          <w:szCs w:val="22"/>
        </w:rPr>
        <w:t xml:space="preserve"> to </w:t>
      </w:r>
      <w:r w:rsidR="009812B4">
        <w:rPr>
          <w:i/>
          <w:sz w:val="22"/>
          <w:szCs w:val="22"/>
        </w:rPr>
        <w:t xml:space="preserve">40 CFR </w:t>
      </w:r>
      <w:r w:rsidR="00F868A1">
        <w:rPr>
          <w:i/>
          <w:sz w:val="22"/>
          <w:szCs w:val="22"/>
        </w:rPr>
        <w:t>60 Subpart A – NSPS General Provisions and Subpart JJJJ – Standards of Performance for Stationary Spark Ignition Internal Combustion Engines</w:t>
      </w:r>
      <w:r w:rsidR="00E066CB">
        <w:rPr>
          <w:i/>
          <w:sz w:val="22"/>
          <w:szCs w:val="22"/>
        </w:rPr>
        <w:t xml:space="preserve"> (SI ICE)</w:t>
      </w:r>
      <w:r w:rsidR="00F868A1">
        <w:rPr>
          <w:i/>
          <w:sz w:val="22"/>
          <w:szCs w:val="22"/>
        </w:rPr>
        <w:t>, and 40 CFR 63 Subpart A – NESHAP General Provisions and Subpart ZZZZ –NESHAP for Stationary RICE, all of which are adopted and incorporated by reference in Rule 62-204.800, F.A.C.</w:t>
      </w:r>
      <w:r w:rsidR="00B84DDB">
        <w:rPr>
          <w:i/>
          <w:sz w:val="22"/>
          <w:szCs w:val="22"/>
        </w:rPr>
        <w:t xml:space="preserve">  </w:t>
      </w:r>
      <w:r w:rsidR="008949A8">
        <w:rPr>
          <w:i/>
          <w:sz w:val="22"/>
          <w:szCs w:val="22"/>
        </w:rPr>
        <w:t xml:space="preserve">Per 40 CFR 63.6590(c), </w:t>
      </w:r>
      <w:r w:rsidR="005B4FEA">
        <w:rPr>
          <w:i/>
          <w:sz w:val="22"/>
          <w:szCs w:val="22"/>
        </w:rPr>
        <w:t>any new stationary RICE located at an area source of HAP meet the requirements of 40 CFR 63 Subpart ZZZZ by meeting the requirements of 40 CFR 60 Subpart JJJJ.}</w:t>
      </w:r>
    </w:p>
    <w:p w:rsidR="0057743B" w:rsidRPr="001B2531" w:rsidRDefault="0057743B" w:rsidP="0057743B">
      <w:pPr>
        <w:spacing w:before="120" w:after="120"/>
        <w:rPr>
          <w:b/>
          <w:sz w:val="22"/>
          <w:szCs w:val="22"/>
        </w:rPr>
      </w:pPr>
      <w:r>
        <w:rPr>
          <w:b/>
          <w:sz w:val="22"/>
          <w:szCs w:val="22"/>
        </w:rPr>
        <w:t>PERFORMANCE RESTRICTIONS</w:t>
      </w:r>
    </w:p>
    <w:p w:rsidR="00563FF6" w:rsidRDefault="00645569" w:rsidP="00645569">
      <w:pPr>
        <w:pStyle w:val="ListParagraph"/>
        <w:numPr>
          <w:ilvl w:val="0"/>
          <w:numId w:val="22"/>
        </w:numPr>
        <w:spacing w:before="120" w:after="120"/>
        <w:ind w:left="360"/>
        <w:contextualSpacing w:val="0"/>
        <w:rPr>
          <w:sz w:val="22"/>
          <w:szCs w:val="22"/>
        </w:rPr>
      </w:pPr>
      <w:r>
        <w:rPr>
          <w:sz w:val="22"/>
          <w:szCs w:val="22"/>
          <w:u w:val="single"/>
        </w:rPr>
        <w:t>Authorized Fuel</w:t>
      </w:r>
      <w:r>
        <w:rPr>
          <w:sz w:val="22"/>
          <w:szCs w:val="22"/>
        </w:rPr>
        <w:t>:  The engines/generators are authorized to burn digester gas only.  [Permit No. 0990347-007-AC]</w:t>
      </w:r>
    </w:p>
    <w:p w:rsidR="00645569" w:rsidRDefault="00645569" w:rsidP="00645569">
      <w:pPr>
        <w:pStyle w:val="ListParagraph"/>
        <w:numPr>
          <w:ilvl w:val="0"/>
          <w:numId w:val="22"/>
        </w:numPr>
        <w:spacing w:before="120" w:after="120"/>
        <w:ind w:left="360"/>
        <w:rPr>
          <w:sz w:val="22"/>
          <w:szCs w:val="22"/>
        </w:rPr>
      </w:pPr>
      <w:r>
        <w:rPr>
          <w:sz w:val="22"/>
          <w:szCs w:val="22"/>
          <w:u w:val="single"/>
        </w:rPr>
        <w:t>Hours of Operation</w:t>
      </w:r>
      <w:r>
        <w:rPr>
          <w:sz w:val="22"/>
          <w:szCs w:val="22"/>
        </w:rPr>
        <w:t>:  The hours of operation of the digester gas generator units are not limited (</w:t>
      </w:r>
      <w:r w:rsidR="00813B6E">
        <w:rPr>
          <w:sz w:val="22"/>
          <w:szCs w:val="22"/>
        </w:rPr>
        <w:t xml:space="preserve">i.e., </w:t>
      </w:r>
      <w:r>
        <w:rPr>
          <w:sz w:val="22"/>
          <w:szCs w:val="22"/>
        </w:rPr>
        <w:t>8,760 hours/year).  [Rule 62-210.200(PTE), F.A.C.; and Permit No. 0990347-007-AC]</w:t>
      </w:r>
    </w:p>
    <w:p w:rsidR="00212415" w:rsidRDefault="00212415" w:rsidP="00212415">
      <w:pPr>
        <w:spacing w:before="120" w:after="120"/>
        <w:rPr>
          <w:b/>
          <w:sz w:val="22"/>
          <w:szCs w:val="22"/>
        </w:rPr>
      </w:pPr>
      <w:r>
        <w:rPr>
          <w:b/>
          <w:sz w:val="22"/>
          <w:szCs w:val="22"/>
        </w:rPr>
        <w:t>EMISSIONS STANDARDS</w:t>
      </w:r>
    </w:p>
    <w:p w:rsidR="00212415" w:rsidRDefault="000A69DE" w:rsidP="00212415">
      <w:pPr>
        <w:pStyle w:val="ListParagraph"/>
        <w:numPr>
          <w:ilvl w:val="0"/>
          <w:numId w:val="22"/>
        </w:numPr>
        <w:spacing w:before="120" w:after="120"/>
        <w:ind w:left="360"/>
        <w:rPr>
          <w:sz w:val="22"/>
          <w:szCs w:val="22"/>
        </w:rPr>
      </w:pPr>
      <w:bookmarkStart w:id="11" w:name="_Ref510774787"/>
      <w:r>
        <w:rPr>
          <w:sz w:val="22"/>
          <w:szCs w:val="22"/>
          <w:u w:val="single"/>
        </w:rPr>
        <w:t>Emissions Standards</w:t>
      </w:r>
      <w:r>
        <w:rPr>
          <w:sz w:val="22"/>
          <w:szCs w:val="22"/>
        </w:rPr>
        <w:t xml:space="preserve">:  The </w:t>
      </w:r>
      <w:r w:rsidR="00E066CB">
        <w:rPr>
          <w:sz w:val="22"/>
          <w:szCs w:val="22"/>
        </w:rPr>
        <w:t>owner or operator</w:t>
      </w:r>
      <w:r>
        <w:rPr>
          <w:sz w:val="22"/>
          <w:szCs w:val="22"/>
        </w:rPr>
        <w:t xml:space="preserve"> shall comply with the emissions standards specified in </w:t>
      </w:r>
      <w:r w:rsidR="00F65F50">
        <w:rPr>
          <w:sz w:val="22"/>
          <w:szCs w:val="22"/>
        </w:rPr>
        <w:t>Table 1 to Subpart JJJJ of Part 60</w:t>
      </w:r>
      <w:r w:rsidR="00096B72">
        <w:rPr>
          <w:sz w:val="22"/>
          <w:szCs w:val="22"/>
        </w:rPr>
        <w:t>, in either g/HP-hr or ppmvd @ 15% O</w:t>
      </w:r>
      <w:r w:rsidR="00096B72">
        <w:rPr>
          <w:sz w:val="22"/>
          <w:szCs w:val="22"/>
          <w:vertAlign w:val="subscript"/>
        </w:rPr>
        <w:t>2</w:t>
      </w:r>
      <w:r w:rsidR="00F65F50">
        <w:rPr>
          <w:sz w:val="22"/>
          <w:szCs w:val="22"/>
        </w:rPr>
        <w:t>:</w:t>
      </w:r>
      <w:bookmarkEnd w:id="11"/>
    </w:p>
    <w:tbl>
      <w:tblPr>
        <w:tblStyle w:val="TableGrid"/>
        <w:tblW w:w="0" w:type="auto"/>
        <w:tblInd w:w="360" w:type="dxa"/>
        <w:tblLook w:val="04A0" w:firstRow="1" w:lastRow="0" w:firstColumn="1" w:lastColumn="0" w:noHBand="0" w:noVBand="1"/>
      </w:tblPr>
      <w:tblGrid>
        <w:gridCol w:w="1615"/>
        <w:gridCol w:w="1614"/>
        <w:gridCol w:w="1615"/>
        <w:gridCol w:w="1615"/>
        <w:gridCol w:w="1615"/>
        <w:gridCol w:w="1616"/>
      </w:tblGrid>
      <w:tr w:rsidR="00F65F50" w:rsidTr="00AF4A59">
        <w:tc>
          <w:tcPr>
            <w:tcW w:w="9690" w:type="dxa"/>
            <w:gridSpan w:val="6"/>
            <w:tcBorders>
              <w:top w:val="single" w:sz="12" w:space="0" w:color="auto"/>
              <w:left w:val="single" w:sz="12" w:space="0" w:color="auto"/>
              <w:bottom w:val="single" w:sz="12" w:space="0" w:color="auto"/>
              <w:right w:val="single" w:sz="12" w:space="0" w:color="auto"/>
            </w:tcBorders>
            <w:shd w:val="clear" w:color="auto" w:fill="BDD6EE" w:themeFill="accent1" w:themeFillTint="66"/>
            <w:vAlign w:val="center"/>
          </w:tcPr>
          <w:p w:rsidR="00F65F50" w:rsidRPr="00F65F50" w:rsidRDefault="00F65F50" w:rsidP="00B9789D">
            <w:pPr>
              <w:jc w:val="center"/>
              <w:rPr>
                <w:b/>
                <w:sz w:val="22"/>
                <w:szCs w:val="22"/>
              </w:rPr>
            </w:pPr>
            <w:r>
              <w:rPr>
                <w:b/>
                <w:sz w:val="22"/>
                <w:szCs w:val="22"/>
              </w:rPr>
              <w:t>Emissions Standards</w:t>
            </w:r>
          </w:p>
        </w:tc>
      </w:tr>
      <w:tr w:rsidR="00F65F50" w:rsidTr="00AF4A59">
        <w:tc>
          <w:tcPr>
            <w:tcW w:w="4844" w:type="dxa"/>
            <w:gridSpan w:val="3"/>
            <w:tcBorders>
              <w:top w:val="single" w:sz="12" w:space="0" w:color="auto"/>
              <w:left w:val="single" w:sz="12" w:space="0" w:color="auto"/>
              <w:bottom w:val="single" w:sz="4" w:space="0" w:color="auto"/>
            </w:tcBorders>
            <w:vAlign w:val="center"/>
          </w:tcPr>
          <w:p w:rsidR="00F65F50" w:rsidRDefault="00F65F50" w:rsidP="00B9789D">
            <w:pPr>
              <w:jc w:val="center"/>
              <w:rPr>
                <w:sz w:val="22"/>
                <w:szCs w:val="22"/>
              </w:rPr>
            </w:pPr>
            <w:r>
              <w:rPr>
                <w:sz w:val="22"/>
                <w:szCs w:val="22"/>
              </w:rPr>
              <w:t>g/HP-hr</w:t>
            </w:r>
          </w:p>
        </w:tc>
        <w:tc>
          <w:tcPr>
            <w:tcW w:w="4846" w:type="dxa"/>
            <w:gridSpan w:val="3"/>
            <w:tcBorders>
              <w:top w:val="single" w:sz="12" w:space="0" w:color="auto"/>
              <w:right w:val="single" w:sz="12" w:space="0" w:color="auto"/>
            </w:tcBorders>
            <w:vAlign w:val="center"/>
          </w:tcPr>
          <w:p w:rsidR="00F65F50" w:rsidRPr="00F65F50" w:rsidRDefault="00F65F50" w:rsidP="00B9789D">
            <w:pPr>
              <w:jc w:val="center"/>
              <w:rPr>
                <w:sz w:val="22"/>
                <w:szCs w:val="22"/>
              </w:rPr>
            </w:pPr>
            <w:r>
              <w:rPr>
                <w:sz w:val="22"/>
                <w:szCs w:val="22"/>
              </w:rPr>
              <w:t>ppmvd @ 15% O</w:t>
            </w:r>
            <w:r>
              <w:rPr>
                <w:sz w:val="22"/>
                <w:szCs w:val="22"/>
                <w:vertAlign w:val="subscript"/>
              </w:rPr>
              <w:t>2</w:t>
            </w:r>
          </w:p>
        </w:tc>
      </w:tr>
      <w:tr w:rsidR="00426FDE" w:rsidTr="00AF4A59">
        <w:tc>
          <w:tcPr>
            <w:tcW w:w="1615" w:type="dxa"/>
            <w:tcBorders>
              <w:top w:val="single" w:sz="4" w:space="0" w:color="auto"/>
              <w:left w:val="single" w:sz="12" w:space="0" w:color="auto"/>
            </w:tcBorders>
            <w:vAlign w:val="center"/>
          </w:tcPr>
          <w:p w:rsidR="00426FDE" w:rsidRPr="00426FDE" w:rsidRDefault="00426FDE" w:rsidP="00B9789D">
            <w:pPr>
              <w:jc w:val="center"/>
              <w:rPr>
                <w:sz w:val="22"/>
                <w:szCs w:val="22"/>
              </w:rPr>
            </w:pPr>
            <w:r>
              <w:rPr>
                <w:sz w:val="22"/>
                <w:szCs w:val="22"/>
              </w:rPr>
              <w:t>NO</w:t>
            </w:r>
            <w:r>
              <w:rPr>
                <w:sz w:val="22"/>
                <w:szCs w:val="22"/>
                <w:vertAlign w:val="subscript"/>
              </w:rPr>
              <w:t>X</w:t>
            </w:r>
          </w:p>
        </w:tc>
        <w:tc>
          <w:tcPr>
            <w:tcW w:w="1614" w:type="dxa"/>
            <w:tcBorders>
              <w:top w:val="single" w:sz="4" w:space="0" w:color="auto"/>
            </w:tcBorders>
            <w:vAlign w:val="center"/>
          </w:tcPr>
          <w:p w:rsidR="00426FDE" w:rsidRDefault="00426FDE" w:rsidP="00B9789D">
            <w:pPr>
              <w:jc w:val="center"/>
              <w:rPr>
                <w:sz w:val="22"/>
                <w:szCs w:val="22"/>
              </w:rPr>
            </w:pPr>
            <w:r>
              <w:rPr>
                <w:sz w:val="22"/>
                <w:szCs w:val="22"/>
              </w:rPr>
              <w:t>CO</w:t>
            </w:r>
          </w:p>
        </w:tc>
        <w:tc>
          <w:tcPr>
            <w:tcW w:w="1615" w:type="dxa"/>
            <w:vAlign w:val="center"/>
          </w:tcPr>
          <w:p w:rsidR="00426FDE" w:rsidRDefault="00426FDE" w:rsidP="00B9789D">
            <w:pPr>
              <w:jc w:val="center"/>
              <w:rPr>
                <w:sz w:val="22"/>
                <w:szCs w:val="22"/>
              </w:rPr>
            </w:pPr>
            <w:r>
              <w:rPr>
                <w:sz w:val="22"/>
                <w:szCs w:val="22"/>
              </w:rPr>
              <w:t>VOC</w:t>
            </w:r>
          </w:p>
        </w:tc>
        <w:tc>
          <w:tcPr>
            <w:tcW w:w="1615" w:type="dxa"/>
            <w:vAlign w:val="center"/>
          </w:tcPr>
          <w:p w:rsidR="00426FDE" w:rsidRPr="00426FDE" w:rsidRDefault="00426FDE" w:rsidP="00B9789D">
            <w:pPr>
              <w:jc w:val="center"/>
              <w:rPr>
                <w:sz w:val="22"/>
                <w:szCs w:val="22"/>
              </w:rPr>
            </w:pPr>
            <w:r>
              <w:rPr>
                <w:sz w:val="22"/>
                <w:szCs w:val="22"/>
              </w:rPr>
              <w:t>NO</w:t>
            </w:r>
            <w:r>
              <w:rPr>
                <w:sz w:val="22"/>
                <w:szCs w:val="22"/>
                <w:vertAlign w:val="subscript"/>
              </w:rPr>
              <w:t>X</w:t>
            </w:r>
          </w:p>
        </w:tc>
        <w:tc>
          <w:tcPr>
            <w:tcW w:w="1615" w:type="dxa"/>
            <w:vAlign w:val="center"/>
          </w:tcPr>
          <w:p w:rsidR="00426FDE" w:rsidRDefault="00426FDE" w:rsidP="00B9789D">
            <w:pPr>
              <w:jc w:val="center"/>
              <w:rPr>
                <w:sz w:val="22"/>
                <w:szCs w:val="22"/>
              </w:rPr>
            </w:pPr>
            <w:r>
              <w:rPr>
                <w:sz w:val="22"/>
                <w:szCs w:val="22"/>
              </w:rPr>
              <w:t>CO</w:t>
            </w:r>
          </w:p>
        </w:tc>
        <w:tc>
          <w:tcPr>
            <w:tcW w:w="1616" w:type="dxa"/>
            <w:tcBorders>
              <w:right w:val="single" w:sz="12" w:space="0" w:color="auto"/>
            </w:tcBorders>
            <w:vAlign w:val="center"/>
          </w:tcPr>
          <w:p w:rsidR="00426FDE" w:rsidRDefault="00426FDE" w:rsidP="00B9789D">
            <w:pPr>
              <w:jc w:val="center"/>
              <w:rPr>
                <w:sz w:val="22"/>
                <w:szCs w:val="22"/>
              </w:rPr>
            </w:pPr>
            <w:r>
              <w:rPr>
                <w:sz w:val="22"/>
                <w:szCs w:val="22"/>
              </w:rPr>
              <w:t>VOC</w:t>
            </w:r>
          </w:p>
        </w:tc>
      </w:tr>
      <w:tr w:rsidR="00426FDE" w:rsidTr="00AF4A59">
        <w:tc>
          <w:tcPr>
            <w:tcW w:w="1615" w:type="dxa"/>
            <w:tcBorders>
              <w:left w:val="single" w:sz="12" w:space="0" w:color="auto"/>
              <w:bottom w:val="single" w:sz="12" w:space="0" w:color="auto"/>
            </w:tcBorders>
            <w:vAlign w:val="center"/>
          </w:tcPr>
          <w:p w:rsidR="00426FDE" w:rsidRDefault="00426FDE" w:rsidP="00B9789D">
            <w:pPr>
              <w:jc w:val="center"/>
              <w:rPr>
                <w:sz w:val="22"/>
                <w:szCs w:val="22"/>
              </w:rPr>
            </w:pPr>
            <w:r>
              <w:rPr>
                <w:sz w:val="22"/>
                <w:szCs w:val="22"/>
              </w:rPr>
              <w:t>2.0</w:t>
            </w:r>
          </w:p>
        </w:tc>
        <w:tc>
          <w:tcPr>
            <w:tcW w:w="1614" w:type="dxa"/>
            <w:tcBorders>
              <w:bottom w:val="single" w:sz="12" w:space="0" w:color="auto"/>
            </w:tcBorders>
            <w:vAlign w:val="center"/>
          </w:tcPr>
          <w:p w:rsidR="00426FDE" w:rsidRDefault="00426FDE" w:rsidP="00B9789D">
            <w:pPr>
              <w:jc w:val="center"/>
              <w:rPr>
                <w:sz w:val="22"/>
                <w:szCs w:val="22"/>
              </w:rPr>
            </w:pPr>
            <w:r>
              <w:rPr>
                <w:sz w:val="22"/>
                <w:szCs w:val="22"/>
              </w:rPr>
              <w:t>5.0</w:t>
            </w:r>
          </w:p>
        </w:tc>
        <w:tc>
          <w:tcPr>
            <w:tcW w:w="1615" w:type="dxa"/>
            <w:tcBorders>
              <w:bottom w:val="single" w:sz="12" w:space="0" w:color="auto"/>
            </w:tcBorders>
            <w:vAlign w:val="center"/>
          </w:tcPr>
          <w:p w:rsidR="00426FDE" w:rsidRDefault="00426FDE" w:rsidP="00B9789D">
            <w:pPr>
              <w:jc w:val="center"/>
              <w:rPr>
                <w:sz w:val="22"/>
                <w:szCs w:val="22"/>
              </w:rPr>
            </w:pPr>
            <w:r>
              <w:rPr>
                <w:sz w:val="22"/>
                <w:szCs w:val="22"/>
              </w:rPr>
              <w:t>1.0</w:t>
            </w:r>
          </w:p>
        </w:tc>
        <w:tc>
          <w:tcPr>
            <w:tcW w:w="1615" w:type="dxa"/>
            <w:tcBorders>
              <w:bottom w:val="single" w:sz="12" w:space="0" w:color="auto"/>
            </w:tcBorders>
            <w:vAlign w:val="center"/>
          </w:tcPr>
          <w:p w:rsidR="00426FDE" w:rsidRDefault="00426FDE" w:rsidP="00B9789D">
            <w:pPr>
              <w:jc w:val="center"/>
              <w:rPr>
                <w:sz w:val="22"/>
                <w:szCs w:val="22"/>
              </w:rPr>
            </w:pPr>
            <w:r>
              <w:rPr>
                <w:sz w:val="22"/>
                <w:szCs w:val="22"/>
              </w:rPr>
              <w:t>150</w:t>
            </w:r>
          </w:p>
        </w:tc>
        <w:tc>
          <w:tcPr>
            <w:tcW w:w="1615" w:type="dxa"/>
            <w:tcBorders>
              <w:bottom w:val="single" w:sz="12" w:space="0" w:color="auto"/>
            </w:tcBorders>
            <w:vAlign w:val="center"/>
          </w:tcPr>
          <w:p w:rsidR="00426FDE" w:rsidRDefault="00426FDE" w:rsidP="00B9789D">
            <w:pPr>
              <w:jc w:val="center"/>
              <w:rPr>
                <w:sz w:val="22"/>
                <w:szCs w:val="22"/>
              </w:rPr>
            </w:pPr>
            <w:r>
              <w:rPr>
                <w:sz w:val="22"/>
                <w:szCs w:val="22"/>
              </w:rPr>
              <w:t>610</w:t>
            </w:r>
          </w:p>
        </w:tc>
        <w:tc>
          <w:tcPr>
            <w:tcW w:w="1616" w:type="dxa"/>
            <w:tcBorders>
              <w:bottom w:val="single" w:sz="12" w:space="0" w:color="auto"/>
              <w:right w:val="single" w:sz="12" w:space="0" w:color="auto"/>
            </w:tcBorders>
            <w:vAlign w:val="center"/>
          </w:tcPr>
          <w:p w:rsidR="00426FDE" w:rsidRDefault="00426FDE" w:rsidP="00B9789D">
            <w:pPr>
              <w:jc w:val="center"/>
              <w:rPr>
                <w:sz w:val="22"/>
                <w:szCs w:val="22"/>
              </w:rPr>
            </w:pPr>
            <w:r>
              <w:rPr>
                <w:sz w:val="22"/>
                <w:szCs w:val="22"/>
              </w:rPr>
              <w:t>80</w:t>
            </w:r>
          </w:p>
        </w:tc>
      </w:tr>
      <w:tr w:rsidR="007821A0" w:rsidTr="00AF4A59">
        <w:tc>
          <w:tcPr>
            <w:tcW w:w="9690" w:type="dxa"/>
            <w:gridSpan w:val="6"/>
            <w:tcBorders>
              <w:left w:val="single" w:sz="12" w:space="0" w:color="auto"/>
              <w:bottom w:val="single" w:sz="12" w:space="0" w:color="auto"/>
              <w:right w:val="single" w:sz="12" w:space="0" w:color="auto"/>
            </w:tcBorders>
          </w:tcPr>
          <w:p w:rsidR="007821A0" w:rsidRPr="00604A3E" w:rsidRDefault="007821A0" w:rsidP="00B9789D">
            <w:pPr>
              <w:rPr>
                <w:sz w:val="22"/>
                <w:szCs w:val="22"/>
              </w:rPr>
            </w:pPr>
            <w:r>
              <w:rPr>
                <w:sz w:val="22"/>
                <w:szCs w:val="22"/>
              </w:rPr>
              <w:t xml:space="preserve">Abbreviations:  </w:t>
            </w:r>
            <w:r w:rsidR="003C4F74">
              <w:rPr>
                <w:sz w:val="22"/>
                <w:szCs w:val="22"/>
              </w:rPr>
              <w:t>grams per horsepower-hour (g/HP-hr); parts per million by volume, dry, corrected to 15% oxygen (ppmvd @ 15% O</w:t>
            </w:r>
            <w:r w:rsidR="00A24EF8">
              <w:rPr>
                <w:sz w:val="22"/>
                <w:szCs w:val="22"/>
                <w:vertAlign w:val="subscript"/>
              </w:rPr>
              <w:t>2</w:t>
            </w:r>
            <w:r w:rsidR="00A24EF8">
              <w:rPr>
                <w:sz w:val="22"/>
                <w:szCs w:val="22"/>
              </w:rPr>
              <w:t xml:space="preserve">); </w:t>
            </w:r>
            <w:r w:rsidR="00604A3E">
              <w:rPr>
                <w:sz w:val="22"/>
                <w:szCs w:val="22"/>
              </w:rPr>
              <w:t>nitrogen oxides (NO</w:t>
            </w:r>
            <w:r w:rsidR="00604A3E">
              <w:rPr>
                <w:sz w:val="22"/>
                <w:szCs w:val="22"/>
                <w:vertAlign w:val="subscript"/>
              </w:rPr>
              <w:t>X</w:t>
            </w:r>
            <w:r w:rsidR="00604A3E">
              <w:rPr>
                <w:sz w:val="22"/>
                <w:szCs w:val="22"/>
              </w:rPr>
              <w:t>); carbon monoxide (CO); and volatile organic compounds (VOC).</w:t>
            </w:r>
          </w:p>
          <w:p w:rsidR="007821A0" w:rsidRDefault="007821A0" w:rsidP="00B9789D">
            <w:pPr>
              <w:rPr>
                <w:sz w:val="22"/>
                <w:szCs w:val="22"/>
              </w:rPr>
            </w:pPr>
            <w:r>
              <w:rPr>
                <w:sz w:val="22"/>
                <w:szCs w:val="22"/>
              </w:rPr>
              <w:t>Note:  For purposes of 40 CFR 60 Subpart JJJJ, when calculating emissions of VOC, emissions of formaldehyde should not be included.</w:t>
            </w:r>
          </w:p>
        </w:tc>
      </w:tr>
    </w:tbl>
    <w:p w:rsidR="00F65F50" w:rsidRDefault="00AF4A59" w:rsidP="00AF4A59">
      <w:pPr>
        <w:spacing w:after="120"/>
        <w:ind w:left="360"/>
        <w:rPr>
          <w:sz w:val="22"/>
          <w:szCs w:val="22"/>
        </w:rPr>
      </w:pPr>
      <w:r>
        <w:rPr>
          <w:sz w:val="22"/>
          <w:szCs w:val="22"/>
        </w:rPr>
        <w:t>[Rule 62-204.800, F.A.C.; and 40 CFR 60.4233(e)]</w:t>
      </w:r>
    </w:p>
    <w:p w:rsidR="00097A82" w:rsidRPr="00097A82" w:rsidRDefault="00657F54" w:rsidP="00097A82">
      <w:pPr>
        <w:spacing w:after="120"/>
        <w:rPr>
          <w:b/>
          <w:sz w:val="22"/>
          <w:szCs w:val="22"/>
        </w:rPr>
      </w:pPr>
      <w:r>
        <w:rPr>
          <w:b/>
          <w:sz w:val="22"/>
          <w:szCs w:val="22"/>
        </w:rPr>
        <w:t>MONITORING AND TESTING REQUIREMENTS</w:t>
      </w:r>
    </w:p>
    <w:p w:rsidR="00AF4A59" w:rsidRDefault="00E066CB" w:rsidP="00AF4A59">
      <w:pPr>
        <w:pStyle w:val="ListParagraph"/>
        <w:numPr>
          <w:ilvl w:val="0"/>
          <w:numId w:val="22"/>
        </w:numPr>
        <w:spacing w:before="120" w:after="120"/>
        <w:ind w:left="360"/>
        <w:rPr>
          <w:sz w:val="22"/>
          <w:szCs w:val="22"/>
        </w:rPr>
      </w:pPr>
      <w:r>
        <w:rPr>
          <w:sz w:val="22"/>
          <w:szCs w:val="22"/>
          <w:u w:val="single"/>
        </w:rPr>
        <w:t>Continuous Compliance</w:t>
      </w:r>
      <w:r>
        <w:rPr>
          <w:sz w:val="22"/>
          <w:szCs w:val="22"/>
        </w:rPr>
        <w:t xml:space="preserve">:  The owner or operator shall operate and maintain the stationary SI ICE </w:t>
      </w:r>
      <w:r w:rsidR="00272812">
        <w:rPr>
          <w:sz w:val="22"/>
          <w:szCs w:val="22"/>
        </w:rPr>
        <w:t xml:space="preserve">that achieve the emission standards as required in Condition </w:t>
      </w:r>
      <w:r w:rsidR="00272812" w:rsidRPr="0017201E">
        <w:rPr>
          <w:b/>
          <w:sz w:val="22"/>
          <w:szCs w:val="22"/>
        </w:rPr>
        <w:fldChar w:fldCharType="begin"/>
      </w:r>
      <w:r w:rsidR="00272812" w:rsidRPr="0017201E">
        <w:rPr>
          <w:b/>
          <w:sz w:val="22"/>
          <w:szCs w:val="22"/>
        </w:rPr>
        <w:instrText xml:space="preserve"> REF _Ref510774787 \r \h </w:instrText>
      </w:r>
      <w:r w:rsidR="0017201E">
        <w:rPr>
          <w:b/>
          <w:sz w:val="22"/>
          <w:szCs w:val="22"/>
        </w:rPr>
        <w:instrText xml:space="preserve"> \* MERGEFORMAT </w:instrText>
      </w:r>
      <w:r w:rsidR="00272812" w:rsidRPr="0017201E">
        <w:rPr>
          <w:b/>
          <w:sz w:val="22"/>
          <w:szCs w:val="22"/>
        </w:rPr>
      </w:r>
      <w:r w:rsidR="00272812" w:rsidRPr="0017201E">
        <w:rPr>
          <w:b/>
          <w:sz w:val="22"/>
          <w:szCs w:val="22"/>
        </w:rPr>
        <w:fldChar w:fldCharType="separate"/>
      </w:r>
      <w:r w:rsidR="003564EB">
        <w:rPr>
          <w:b/>
          <w:sz w:val="22"/>
          <w:szCs w:val="22"/>
        </w:rPr>
        <w:t>3</w:t>
      </w:r>
      <w:r w:rsidR="00272812" w:rsidRPr="0017201E">
        <w:rPr>
          <w:b/>
          <w:sz w:val="22"/>
          <w:szCs w:val="22"/>
        </w:rPr>
        <w:fldChar w:fldCharType="end"/>
      </w:r>
      <w:r w:rsidR="00272812">
        <w:rPr>
          <w:sz w:val="22"/>
          <w:szCs w:val="22"/>
        </w:rPr>
        <w:t xml:space="preserve"> of this section over </w:t>
      </w:r>
      <w:r w:rsidR="0017201E">
        <w:rPr>
          <w:sz w:val="22"/>
          <w:szCs w:val="22"/>
        </w:rPr>
        <w:t>the entire life of the engine.</w:t>
      </w:r>
      <w:r w:rsidR="0017201E">
        <w:rPr>
          <w:sz w:val="22"/>
          <w:szCs w:val="22"/>
        </w:rPr>
        <w:br/>
      </w:r>
      <w:r w:rsidR="00272812">
        <w:rPr>
          <w:sz w:val="22"/>
          <w:szCs w:val="22"/>
        </w:rPr>
        <w:t>[Rule 62-204.800, F.A.C.; and 40 CFR 60.4234]</w:t>
      </w:r>
    </w:p>
    <w:p w:rsidR="00272812" w:rsidRDefault="0017201E" w:rsidP="00AF4A59">
      <w:pPr>
        <w:pStyle w:val="ListParagraph"/>
        <w:numPr>
          <w:ilvl w:val="0"/>
          <w:numId w:val="22"/>
        </w:numPr>
        <w:spacing w:before="120" w:after="120"/>
        <w:ind w:left="360"/>
        <w:rPr>
          <w:sz w:val="22"/>
          <w:szCs w:val="22"/>
        </w:rPr>
      </w:pPr>
      <w:r>
        <w:rPr>
          <w:sz w:val="22"/>
          <w:szCs w:val="22"/>
          <w:u w:val="single"/>
        </w:rPr>
        <w:t>Compliance Demonstration</w:t>
      </w:r>
      <w:r>
        <w:rPr>
          <w:sz w:val="22"/>
          <w:szCs w:val="22"/>
        </w:rPr>
        <w:t xml:space="preserve">:  </w:t>
      </w:r>
      <w:r w:rsidR="0085220A">
        <w:rPr>
          <w:sz w:val="22"/>
          <w:szCs w:val="22"/>
        </w:rPr>
        <w:t>The owner or operator shall demonstrate compliance according to the following:</w:t>
      </w:r>
    </w:p>
    <w:p w:rsidR="0085220A" w:rsidRDefault="00E518F1" w:rsidP="0085220A">
      <w:pPr>
        <w:pStyle w:val="ListParagraph"/>
        <w:numPr>
          <w:ilvl w:val="0"/>
          <w:numId w:val="23"/>
        </w:numPr>
        <w:spacing w:before="120" w:after="120"/>
        <w:ind w:left="720"/>
        <w:rPr>
          <w:sz w:val="22"/>
          <w:szCs w:val="22"/>
        </w:rPr>
      </w:pPr>
      <w:r>
        <w:rPr>
          <w:sz w:val="22"/>
          <w:szCs w:val="22"/>
        </w:rPr>
        <w:t>Keep a maintenance plan and records of conducted maintenance and to the extent practicable, maintain and operate the engines in a manner consistent with good air pollution</w:t>
      </w:r>
      <w:r w:rsidR="00493C35">
        <w:rPr>
          <w:sz w:val="22"/>
          <w:szCs w:val="22"/>
        </w:rPr>
        <w:t xml:space="preserve"> control practice</w:t>
      </w:r>
      <w:r w:rsidR="006C372A">
        <w:rPr>
          <w:sz w:val="22"/>
          <w:szCs w:val="22"/>
        </w:rPr>
        <w:t xml:space="preserve"> for minimizing emissions.</w:t>
      </w:r>
    </w:p>
    <w:p w:rsidR="006C372A" w:rsidRDefault="00F97721" w:rsidP="00F97721">
      <w:pPr>
        <w:pStyle w:val="ListParagraph"/>
        <w:numPr>
          <w:ilvl w:val="0"/>
          <w:numId w:val="23"/>
        </w:numPr>
        <w:spacing w:before="120"/>
        <w:ind w:left="720"/>
        <w:rPr>
          <w:sz w:val="22"/>
          <w:szCs w:val="22"/>
        </w:rPr>
      </w:pPr>
      <w:r>
        <w:rPr>
          <w:sz w:val="22"/>
          <w:szCs w:val="22"/>
        </w:rPr>
        <w:t>Conduct an initial performance test and conduct subsequent performance testing every 8,760 hours or 3 years, whichever comes first.</w:t>
      </w:r>
    </w:p>
    <w:p w:rsidR="00F97721" w:rsidRDefault="00F97721" w:rsidP="00F97721">
      <w:pPr>
        <w:spacing w:after="120"/>
        <w:ind w:left="360"/>
        <w:rPr>
          <w:sz w:val="22"/>
          <w:szCs w:val="22"/>
        </w:rPr>
      </w:pPr>
      <w:r>
        <w:rPr>
          <w:sz w:val="22"/>
          <w:szCs w:val="22"/>
        </w:rPr>
        <w:t>[Rule 62-204.800, F.A.C.; and 40 CFR 60.4243(b)(2)(ii)]</w:t>
      </w:r>
    </w:p>
    <w:p w:rsidR="00A40FAB" w:rsidRPr="00A40FAB" w:rsidRDefault="00A40FAB" w:rsidP="00F97721">
      <w:pPr>
        <w:spacing w:after="120"/>
        <w:ind w:left="360"/>
        <w:rPr>
          <w:i/>
          <w:sz w:val="22"/>
          <w:szCs w:val="22"/>
        </w:rPr>
      </w:pPr>
      <w:r>
        <w:rPr>
          <w:i/>
          <w:sz w:val="22"/>
          <w:szCs w:val="22"/>
        </w:rPr>
        <w:t>{Permitting Note:  Because these engines fire digester gas only, they are unable to be certified to EPA Tier standards.  Therefore, periodic performance testing must be completed to demonstrate compliance</w:t>
      </w:r>
      <w:r w:rsidR="003F025B">
        <w:rPr>
          <w:i/>
          <w:sz w:val="22"/>
          <w:szCs w:val="22"/>
        </w:rPr>
        <w:t>.}</w:t>
      </w:r>
    </w:p>
    <w:p w:rsidR="00F97721" w:rsidRDefault="001957B0" w:rsidP="00876EE9">
      <w:pPr>
        <w:pStyle w:val="ListParagraph"/>
        <w:numPr>
          <w:ilvl w:val="0"/>
          <w:numId w:val="22"/>
        </w:numPr>
        <w:spacing w:after="120"/>
        <w:ind w:left="360"/>
        <w:contextualSpacing w:val="0"/>
        <w:rPr>
          <w:sz w:val="22"/>
          <w:szCs w:val="22"/>
        </w:rPr>
      </w:pPr>
      <w:bookmarkStart w:id="12" w:name="_Ref510784724"/>
      <w:r>
        <w:rPr>
          <w:sz w:val="22"/>
          <w:szCs w:val="22"/>
          <w:u w:val="single"/>
        </w:rPr>
        <w:t>Subsequent Performance Testing</w:t>
      </w:r>
      <w:r>
        <w:rPr>
          <w:sz w:val="22"/>
          <w:szCs w:val="22"/>
        </w:rPr>
        <w:t>:  Performance testing shall be conducted every 8,760 hours or 3 years, whichever comes first, to demonstrate compliance with the emissions standards for CO, NO</w:t>
      </w:r>
      <w:r>
        <w:rPr>
          <w:sz w:val="22"/>
          <w:szCs w:val="22"/>
          <w:vertAlign w:val="subscript"/>
        </w:rPr>
        <w:t>X</w:t>
      </w:r>
      <w:r>
        <w:rPr>
          <w:sz w:val="22"/>
          <w:szCs w:val="22"/>
        </w:rPr>
        <w:t>, and VOC.  [Rules 62</w:t>
      </w:r>
      <w:r w:rsidR="00F75CD1">
        <w:rPr>
          <w:sz w:val="22"/>
          <w:szCs w:val="22"/>
        </w:rPr>
        <w:t>-204.800 &amp; 62-297.310(8)(a)5</w:t>
      </w:r>
      <w:r>
        <w:rPr>
          <w:sz w:val="22"/>
          <w:szCs w:val="22"/>
        </w:rPr>
        <w:t>a., F.A.C.; and 40 CFR 60.4243(b)(2)(ii)]</w:t>
      </w:r>
      <w:bookmarkEnd w:id="12"/>
    </w:p>
    <w:p w:rsidR="00876EE9" w:rsidRDefault="00876EE9" w:rsidP="00876EE9">
      <w:pPr>
        <w:pStyle w:val="ListParagraph"/>
        <w:numPr>
          <w:ilvl w:val="0"/>
          <w:numId w:val="22"/>
        </w:numPr>
        <w:spacing w:after="120"/>
        <w:ind w:left="360"/>
        <w:contextualSpacing w:val="0"/>
        <w:rPr>
          <w:sz w:val="22"/>
          <w:szCs w:val="22"/>
        </w:rPr>
      </w:pPr>
      <w:r>
        <w:rPr>
          <w:sz w:val="22"/>
          <w:szCs w:val="22"/>
          <w:u w:val="single"/>
        </w:rPr>
        <w:t>Test Requirements</w:t>
      </w:r>
      <w:r>
        <w:rPr>
          <w:sz w:val="22"/>
          <w:szCs w:val="22"/>
        </w:rPr>
        <w:t xml:space="preserve">:  The owner or operator shall notify the Compliance Authority in writing at least 30 days </w:t>
      </w:r>
      <w:r w:rsidR="00071393">
        <w:rPr>
          <w:sz w:val="22"/>
          <w:szCs w:val="22"/>
        </w:rPr>
        <w:t>prior to any required tests.  Tests shall be conducted in accordance with the applicable requirements of Appendix D of this permit</w:t>
      </w:r>
      <w:r w:rsidR="00F062E8">
        <w:rPr>
          <w:sz w:val="22"/>
          <w:szCs w:val="22"/>
        </w:rPr>
        <w:t xml:space="preserve"> and 40 CFR 60 Subpart JJJJ</w:t>
      </w:r>
      <w:r w:rsidR="00071393">
        <w:rPr>
          <w:sz w:val="22"/>
          <w:szCs w:val="22"/>
        </w:rPr>
        <w:t>.  [Rule 62-204.800, F.A.C.; and 40 CFR 60.8(d)</w:t>
      </w:r>
      <w:r w:rsidR="00511459">
        <w:rPr>
          <w:sz w:val="22"/>
          <w:szCs w:val="22"/>
        </w:rPr>
        <w:t xml:space="preserve"> &amp; 60.4244</w:t>
      </w:r>
      <w:r w:rsidR="00071393">
        <w:rPr>
          <w:sz w:val="22"/>
          <w:szCs w:val="22"/>
        </w:rPr>
        <w:t>]</w:t>
      </w:r>
    </w:p>
    <w:p w:rsidR="007E6028" w:rsidRPr="0061743E" w:rsidRDefault="00956FD5" w:rsidP="00D06032">
      <w:pPr>
        <w:pStyle w:val="ListParagraph"/>
        <w:numPr>
          <w:ilvl w:val="0"/>
          <w:numId w:val="22"/>
        </w:numPr>
        <w:ind w:left="360"/>
        <w:contextualSpacing w:val="0"/>
        <w:rPr>
          <w:sz w:val="22"/>
          <w:szCs w:val="22"/>
        </w:rPr>
      </w:pPr>
      <w:r>
        <w:rPr>
          <w:sz w:val="22"/>
          <w:szCs w:val="22"/>
          <w:u w:val="single"/>
        </w:rPr>
        <w:t>Testing Procedures</w:t>
      </w:r>
      <w:r>
        <w:rPr>
          <w:sz w:val="22"/>
          <w:szCs w:val="22"/>
        </w:rPr>
        <w:t xml:space="preserve">:  </w:t>
      </w:r>
      <w:r w:rsidR="00C74E75">
        <w:rPr>
          <w:sz w:val="22"/>
          <w:szCs w:val="22"/>
        </w:rPr>
        <w:t xml:space="preserve">The performance tests required in Condition </w:t>
      </w:r>
      <w:r w:rsidR="00C74E75" w:rsidRPr="00C74E75">
        <w:rPr>
          <w:b/>
          <w:sz w:val="22"/>
          <w:szCs w:val="22"/>
        </w:rPr>
        <w:fldChar w:fldCharType="begin"/>
      </w:r>
      <w:r w:rsidR="00C74E75" w:rsidRPr="00C74E75">
        <w:rPr>
          <w:b/>
          <w:sz w:val="22"/>
          <w:szCs w:val="22"/>
        </w:rPr>
        <w:instrText xml:space="preserve"> REF _Ref510784724 \r \h </w:instrText>
      </w:r>
      <w:r w:rsidR="00C74E75">
        <w:rPr>
          <w:b/>
          <w:sz w:val="22"/>
          <w:szCs w:val="22"/>
        </w:rPr>
        <w:instrText xml:space="preserve"> \* MERGEFORMAT </w:instrText>
      </w:r>
      <w:r w:rsidR="00C74E75" w:rsidRPr="00C74E75">
        <w:rPr>
          <w:b/>
          <w:sz w:val="22"/>
          <w:szCs w:val="22"/>
        </w:rPr>
      </w:r>
      <w:r w:rsidR="00C74E75" w:rsidRPr="00C74E75">
        <w:rPr>
          <w:b/>
          <w:sz w:val="22"/>
          <w:szCs w:val="22"/>
        </w:rPr>
        <w:fldChar w:fldCharType="separate"/>
      </w:r>
      <w:r w:rsidR="003564EB">
        <w:rPr>
          <w:b/>
          <w:sz w:val="22"/>
          <w:szCs w:val="22"/>
        </w:rPr>
        <w:t>6</w:t>
      </w:r>
      <w:r w:rsidR="00C74E75" w:rsidRPr="00C74E75">
        <w:rPr>
          <w:b/>
          <w:sz w:val="22"/>
          <w:szCs w:val="22"/>
        </w:rPr>
        <w:fldChar w:fldCharType="end"/>
      </w:r>
      <w:r w:rsidR="00C74E75" w:rsidRPr="0042098D">
        <w:rPr>
          <w:sz w:val="22"/>
        </w:rPr>
        <w:t xml:space="preserve"> </w:t>
      </w:r>
      <w:r w:rsidR="0042098D" w:rsidRPr="0042098D">
        <w:rPr>
          <w:sz w:val="22"/>
        </w:rPr>
        <w:t>shall follow</w:t>
      </w:r>
      <w:r w:rsidR="0042098D">
        <w:rPr>
          <w:sz w:val="22"/>
        </w:rPr>
        <w:t xml:space="preserve"> </w:t>
      </w:r>
      <w:r w:rsidR="00821790">
        <w:rPr>
          <w:sz w:val="22"/>
        </w:rPr>
        <w:t>the procedures in paragraphs a through g of this condition.</w:t>
      </w:r>
    </w:p>
    <w:p w:rsidR="00D06032" w:rsidRDefault="00C262F7" w:rsidP="00DB588B">
      <w:pPr>
        <w:pStyle w:val="ListParagraph"/>
        <w:numPr>
          <w:ilvl w:val="0"/>
          <w:numId w:val="24"/>
        </w:numPr>
        <w:spacing w:after="120"/>
        <w:ind w:left="720"/>
        <w:rPr>
          <w:sz w:val="22"/>
          <w:szCs w:val="22"/>
        </w:rPr>
      </w:pPr>
      <w:r>
        <w:rPr>
          <w:sz w:val="22"/>
          <w:szCs w:val="22"/>
        </w:rPr>
        <w:t xml:space="preserve">Each performance test must be conducted within 10% of 100% peak (or the highest achievable) load and according to </w:t>
      </w:r>
      <w:r w:rsidR="00004755">
        <w:rPr>
          <w:sz w:val="22"/>
          <w:szCs w:val="22"/>
        </w:rPr>
        <w:t>the requirements in 40 CFR 60.8 and Table 2 to 40 CFR 60 Subpart JJJJ.</w:t>
      </w:r>
    </w:p>
    <w:p w:rsidR="00004755" w:rsidRDefault="00173D9E" w:rsidP="00DB588B">
      <w:pPr>
        <w:pStyle w:val="ListParagraph"/>
        <w:numPr>
          <w:ilvl w:val="0"/>
          <w:numId w:val="24"/>
        </w:numPr>
        <w:spacing w:after="120"/>
        <w:ind w:left="720"/>
        <w:rPr>
          <w:sz w:val="22"/>
          <w:szCs w:val="22"/>
        </w:rPr>
      </w:pPr>
      <w:r>
        <w:rPr>
          <w:sz w:val="22"/>
          <w:szCs w:val="22"/>
        </w:rPr>
        <w:t>The owner or operator may not conduct performance tests during periods of startup, shutdown, or malfunction, as specified in 40 CFR 60.8(c).  If the stationary SI ICE is non-operational, the owner or operator does not need to start up the engine solely to conduct a performance test; however, the performance test must be conducted immediately upon startup of the engine.</w:t>
      </w:r>
    </w:p>
    <w:p w:rsidR="00173D9E" w:rsidRDefault="00772399" w:rsidP="00DB588B">
      <w:pPr>
        <w:pStyle w:val="ListParagraph"/>
        <w:numPr>
          <w:ilvl w:val="0"/>
          <w:numId w:val="24"/>
        </w:numPr>
        <w:spacing w:after="120"/>
        <w:ind w:left="720"/>
        <w:rPr>
          <w:sz w:val="22"/>
          <w:szCs w:val="22"/>
        </w:rPr>
      </w:pPr>
      <w:r>
        <w:rPr>
          <w:sz w:val="22"/>
          <w:szCs w:val="22"/>
        </w:rPr>
        <w:t>The owner or operator must conduct three separate runs for each performance test required in this section, as specified in 40 CFR 60.8(f).  Each test run must be conducted within 10% of 100% peak (or the highest achievable) load and last at least one hour.</w:t>
      </w:r>
    </w:p>
    <w:p w:rsidR="00772399" w:rsidRDefault="007704B2" w:rsidP="007213C1">
      <w:pPr>
        <w:pStyle w:val="ListParagraph"/>
        <w:numPr>
          <w:ilvl w:val="0"/>
          <w:numId w:val="24"/>
        </w:numPr>
        <w:spacing w:after="120"/>
        <w:ind w:left="720"/>
        <w:contextualSpacing w:val="0"/>
        <w:rPr>
          <w:sz w:val="22"/>
          <w:szCs w:val="22"/>
        </w:rPr>
      </w:pPr>
      <w:r>
        <w:rPr>
          <w:sz w:val="22"/>
          <w:szCs w:val="22"/>
        </w:rPr>
        <w:t>To determine compliance with the NO</w:t>
      </w:r>
      <w:r>
        <w:rPr>
          <w:sz w:val="22"/>
          <w:szCs w:val="22"/>
          <w:vertAlign w:val="subscript"/>
        </w:rPr>
        <w:t>X</w:t>
      </w:r>
      <w:r w:rsidR="007213C1">
        <w:rPr>
          <w:sz w:val="22"/>
          <w:szCs w:val="22"/>
        </w:rPr>
        <w:t xml:space="preserve"> mass per unit output emission limitation, convert the concentration of NO</w:t>
      </w:r>
      <w:r w:rsidR="007213C1">
        <w:rPr>
          <w:sz w:val="22"/>
          <w:szCs w:val="22"/>
          <w:vertAlign w:val="subscript"/>
        </w:rPr>
        <w:t>X</w:t>
      </w:r>
      <w:r w:rsidR="007213C1">
        <w:rPr>
          <w:sz w:val="22"/>
          <w:szCs w:val="22"/>
        </w:rPr>
        <w:t xml:space="preserve"> in the engine exhaust using Equation 1 of this condition:</w:t>
      </w:r>
    </w:p>
    <w:p w:rsidR="007213C1" w:rsidRPr="00BF3C6A" w:rsidRDefault="00BF3C6A" w:rsidP="00BF3C6A">
      <w:pPr>
        <w:pStyle w:val="ListParagraph"/>
        <w:tabs>
          <w:tab w:val="left" w:pos="8280"/>
        </w:tabs>
        <w:spacing w:after="120"/>
        <w:contextualSpacing w:val="0"/>
        <w:rPr>
          <w:sz w:val="22"/>
          <w:szCs w:val="22"/>
        </w:rPr>
      </w:pPr>
      <m:oMathPara>
        <m:oMathParaPr>
          <m:jc m:val="center"/>
        </m:oMathParaPr>
        <m:oMath>
          <m:r>
            <m:rPr>
              <m:sty m:val="p"/>
            </m:rPr>
            <w:rPr>
              <w:rFonts w:ascii="Cambria Math" w:hAnsi="Cambria Math"/>
              <w:sz w:val="22"/>
              <w:szCs w:val="22"/>
            </w:rPr>
            <m:t>ER=</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d</m:t>
                  </m:r>
                </m:sub>
              </m:sSub>
              <m:r>
                <m:rPr>
                  <m:sty m:val="p"/>
                </m:rPr>
                <w:rPr>
                  <w:rFonts w:ascii="Cambria Math" w:hAnsi="Cambria Math"/>
                  <w:sz w:val="22"/>
                  <w:szCs w:val="22"/>
                </w:rPr>
                <m:t>*1.912x</m:t>
              </m:r>
              <m:sSup>
                <m:sSupPr>
                  <m:ctrlPr>
                    <w:rPr>
                      <w:rFonts w:ascii="Cambria Math" w:hAnsi="Cambria Math"/>
                      <w:sz w:val="22"/>
                      <w:szCs w:val="22"/>
                    </w:rPr>
                  </m:ctrlPr>
                </m:sSupPr>
                <m:e>
                  <m:r>
                    <m:rPr>
                      <m:sty m:val="p"/>
                    </m:rPr>
                    <w:rPr>
                      <w:rFonts w:ascii="Cambria Math" w:hAnsi="Cambria Math"/>
                      <w:sz w:val="22"/>
                      <w:szCs w:val="22"/>
                    </w:rPr>
                    <m:t>10</m:t>
                  </m:r>
                </m:e>
                <m:sup>
                  <m:r>
                    <m:rPr>
                      <m:sty m:val="p"/>
                    </m:rPr>
                    <w:rPr>
                      <w:rFonts w:ascii="Cambria Math" w:hAnsi="Cambria Math"/>
                      <w:sz w:val="22"/>
                      <w:szCs w:val="22"/>
                    </w:rPr>
                    <m:t>-3</m:t>
                  </m:r>
                </m:sup>
              </m:sSup>
              <m:r>
                <m:rPr>
                  <m:sty m:val="p"/>
                </m:rPr>
                <w:rPr>
                  <w:rFonts w:ascii="Cambria Math" w:hAnsi="Cambria Math"/>
                  <w:sz w:val="22"/>
                  <w:szCs w:val="22"/>
                </w:rPr>
                <m:t>*Q*T</m:t>
              </m:r>
            </m:num>
            <m:den>
              <m:r>
                <m:rPr>
                  <m:sty m:val="p"/>
                </m:rPr>
                <w:rPr>
                  <w:rFonts w:ascii="Cambria Math" w:hAnsi="Cambria Math"/>
                  <w:sz w:val="22"/>
                  <w:szCs w:val="22"/>
                </w:rPr>
                <m:t>HP-hr</m:t>
              </m:r>
            </m:den>
          </m:f>
          <m:r>
            <w:rPr>
              <w:rFonts w:ascii="Cambria Math" w:hAnsi="Cambria Math"/>
              <w:sz w:val="22"/>
              <w:szCs w:val="22"/>
            </w:rPr>
            <m:t xml:space="preserve">     (</m:t>
          </m:r>
          <m:r>
            <m:rPr>
              <m:sty m:val="p"/>
            </m:rPr>
            <w:rPr>
              <w:rFonts w:ascii="Cambria Math" w:hAnsi="Cambria Math"/>
              <w:sz w:val="22"/>
              <w:szCs w:val="22"/>
            </w:rPr>
            <m:t>Equation 1)</m:t>
          </m:r>
        </m:oMath>
      </m:oMathPara>
    </w:p>
    <w:p w:rsidR="007213C1" w:rsidRDefault="007213C1" w:rsidP="007213C1">
      <w:pPr>
        <w:pStyle w:val="ListParagraph"/>
        <w:spacing w:after="120"/>
        <w:contextualSpacing w:val="0"/>
        <w:rPr>
          <w:sz w:val="22"/>
          <w:szCs w:val="22"/>
        </w:rPr>
      </w:pPr>
      <w:r>
        <w:rPr>
          <w:sz w:val="22"/>
          <w:szCs w:val="22"/>
        </w:rPr>
        <w:t>Where:</w:t>
      </w:r>
    </w:p>
    <w:p w:rsidR="007213C1" w:rsidRDefault="007213C1" w:rsidP="007213C1">
      <w:pPr>
        <w:pStyle w:val="ListParagraph"/>
        <w:spacing w:after="120"/>
        <w:rPr>
          <w:sz w:val="22"/>
          <w:szCs w:val="22"/>
        </w:rPr>
      </w:pPr>
      <w:r>
        <w:rPr>
          <w:sz w:val="22"/>
          <w:szCs w:val="22"/>
        </w:rPr>
        <w:t>ER = emission rate of NO</w:t>
      </w:r>
      <w:r>
        <w:rPr>
          <w:sz w:val="22"/>
          <w:szCs w:val="22"/>
          <w:vertAlign w:val="subscript"/>
        </w:rPr>
        <w:t>X</w:t>
      </w:r>
      <w:r>
        <w:rPr>
          <w:sz w:val="22"/>
          <w:szCs w:val="22"/>
        </w:rPr>
        <w:t xml:space="preserve"> in g/HP-hr;</w:t>
      </w:r>
    </w:p>
    <w:p w:rsidR="007213C1" w:rsidRDefault="007213C1" w:rsidP="007213C1">
      <w:pPr>
        <w:pStyle w:val="ListParagraph"/>
        <w:spacing w:after="120"/>
        <w:rPr>
          <w:sz w:val="22"/>
        </w:rPr>
      </w:pPr>
      <w:r>
        <w:rPr>
          <w:sz w:val="22"/>
        </w:rPr>
        <w:t>C</w:t>
      </w:r>
      <w:r>
        <w:rPr>
          <w:sz w:val="22"/>
          <w:vertAlign w:val="subscript"/>
        </w:rPr>
        <w:t>d</w:t>
      </w:r>
      <w:r>
        <w:rPr>
          <w:sz w:val="22"/>
        </w:rPr>
        <w:t xml:space="preserve"> = measured NO</w:t>
      </w:r>
      <w:r>
        <w:rPr>
          <w:sz w:val="22"/>
          <w:vertAlign w:val="subscript"/>
        </w:rPr>
        <w:t>X</w:t>
      </w:r>
      <w:r>
        <w:rPr>
          <w:sz w:val="22"/>
        </w:rPr>
        <w:t xml:space="preserve"> concentration in parts per million, by volume (ppmv);</w:t>
      </w:r>
    </w:p>
    <w:p w:rsidR="007213C1" w:rsidRDefault="007213C1" w:rsidP="007213C1">
      <w:pPr>
        <w:pStyle w:val="ListParagraph"/>
        <w:spacing w:after="120"/>
        <w:rPr>
          <w:sz w:val="22"/>
        </w:rPr>
      </w:pPr>
      <w:r>
        <w:rPr>
          <w:sz w:val="22"/>
        </w:rPr>
        <w:t>1.912x10</w:t>
      </w:r>
      <w:r>
        <w:rPr>
          <w:sz w:val="22"/>
          <w:vertAlign w:val="superscript"/>
        </w:rPr>
        <w:t>-3</w:t>
      </w:r>
      <w:r>
        <w:rPr>
          <w:sz w:val="22"/>
        </w:rPr>
        <w:t xml:space="preserve"> = conversion constant for ppm NO</w:t>
      </w:r>
      <w:r>
        <w:rPr>
          <w:sz w:val="22"/>
          <w:vertAlign w:val="subscript"/>
        </w:rPr>
        <w:t>X</w:t>
      </w:r>
      <w:r>
        <w:rPr>
          <w:sz w:val="22"/>
        </w:rPr>
        <w:t xml:space="preserve"> to grams per standard cubic meter at 20 degrees Celsius</w:t>
      </w:r>
      <w:r w:rsidR="00495101">
        <w:rPr>
          <w:sz w:val="22"/>
        </w:rPr>
        <w:t xml:space="preserve"> (°C)</w:t>
      </w:r>
      <w:r>
        <w:rPr>
          <w:sz w:val="22"/>
        </w:rPr>
        <w:t>;</w:t>
      </w:r>
    </w:p>
    <w:p w:rsidR="007213C1" w:rsidRDefault="007213C1" w:rsidP="007213C1">
      <w:pPr>
        <w:pStyle w:val="ListParagraph"/>
        <w:spacing w:after="120"/>
        <w:rPr>
          <w:sz w:val="22"/>
        </w:rPr>
      </w:pPr>
      <w:r>
        <w:rPr>
          <w:sz w:val="22"/>
        </w:rPr>
        <w:t>Q = stack gas volumetric flow rate, in standard cubic meters per hour, dry basis;</w:t>
      </w:r>
    </w:p>
    <w:p w:rsidR="007213C1" w:rsidRDefault="007213C1" w:rsidP="007213C1">
      <w:pPr>
        <w:pStyle w:val="ListParagraph"/>
        <w:spacing w:after="120"/>
        <w:rPr>
          <w:sz w:val="22"/>
        </w:rPr>
      </w:pPr>
      <w:r>
        <w:rPr>
          <w:sz w:val="22"/>
        </w:rPr>
        <w:t>T = time of test run, in hours; and</w:t>
      </w:r>
    </w:p>
    <w:p w:rsidR="007213C1" w:rsidRDefault="007213C1" w:rsidP="007213C1">
      <w:pPr>
        <w:pStyle w:val="ListParagraph"/>
        <w:spacing w:after="120"/>
        <w:contextualSpacing w:val="0"/>
        <w:rPr>
          <w:sz w:val="22"/>
        </w:rPr>
      </w:pPr>
      <w:r>
        <w:rPr>
          <w:sz w:val="22"/>
        </w:rPr>
        <w:t>HP-hr = brake work of the engine, horsepower-hour (HP-hr).</w:t>
      </w:r>
    </w:p>
    <w:p w:rsidR="007213C1" w:rsidRDefault="00DD50B1" w:rsidP="007213C1">
      <w:pPr>
        <w:pStyle w:val="ListParagraph"/>
        <w:numPr>
          <w:ilvl w:val="0"/>
          <w:numId w:val="24"/>
        </w:numPr>
        <w:spacing w:after="120"/>
        <w:ind w:left="720"/>
        <w:rPr>
          <w:sz w:val="22"/>
          <w:szCs w:val="22"/>
        </w:rPr>
      </w:pPr>
      <w:r>
        <w:rPr>
          <w:sz w:val="22"/>
          <w:szCs w:val="22"/>
        </w:rPr>
        <w:t>To determine compliance with the CO mas per unit output emission limitation, convert the concentration of CO in the engine exhaust using Equation 2 of this condition:</w:t>
      </w:r>
    </w:p>
    <w:p w:rsidR="00DD50B1" w:rsidRPr="008566DC" w:rsidRDefault="004136DD" w:rsidP="00DD50B1">
      <w:pPr>
        <w:spacing w:after="120"/>
        <w:ind w:left="720"/>
        <w:rPr>
          <w:sz w:val="22"/>
          <w:szCs w:val="22"/>
        </w:rPr>
      </w:pPr>
      <m:oMathPara>
        <m:oMathParaPr>
          <m:jc m:val="center"/>
        </m:oMathParaPr>
        <m:oMath>
          <m:r>
            <m:rPr>
              <m:sty m:val="p"/>
            </m:rPr>
            <w:rPr>
              <w:rFonts w:ascii="Cambria Math" w:hAnsi="Cambria Math"/>
              <w:sz w:val="22"/>
              <w:szCs w:val="22"/>
            </w:rPr>
            <m:t>ER=</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d</m:t>
                  </m:r>
                </m:sub>
              </m:sSub>
              <m:r>
                <m:rPr>
                  <m:sty m:val="p"/>
                </m:rPr>
                <w:rPr>
                  <w:rFonts w:ascii="Cambria Math" w:hAnsi="Cambria Math"/>
                  <w:sz w:val="22"/>
                  <w:szCs w:val="22"/>
                </w:rPr>
                <m:t>*1.164x</m:t>
              </m:r>
              <m:sSup>
                <m:sSupPr>
                  <m:ctrlPr>
                    <w:rPr>
                      <w:rFonts w:ascii="Cambria Math" w:hAnsi="Cambria Math"/>
                      <w:sz w:val="22"/>
                      <w:szCs w:val="22"/>
                    </w:rPr>
                  </m:ctrlPr>
                </m:sSupPr>
                <m:e>
                  <m:r>
                    <m:rPr>
                      <m:sty m:val="p"/>
                    </m:rPr>
                    <w:rPr>
                      <w:rFonts w:ascii="Cambria Math" w:hAnsi="Cambria Math"/>
                      <w:sz w:val="22"/>
                      <w:szCs w:val="22"/>
                    </w:rPr>
                    <m:t>10</m:t>
                  </m:r>
                </m:e>
                <m:sup>
                  <m:r>
                    <m:rPr>
                      <m:sty m:val="p"/>
                    </m:rPr>
                    <w:rPr>
                      <w:rFonts w:ascii="Cambria Math" w:hAnsi="Cambria Math"/>
                      <w:sz w:val="22"/>
                      <w:szCs w:val="22"/>
                    </w:rPr>
                    <m:t>-3</m:t>
                  </m:r>
                </m:sup>
              </m:sSup>
              <m:r>
                <m:rPr>
                  <m:sty m:val="p"/>
                </m:rPr>
                <w:rPr>
                  <w:rFonts w:ascii="Cambria Math" w:hAnsi="Cambria Math"/>
                  <w:sz w:val="22"/>
                  <w:szCs w:val="22"/>
                </w:rPr>
                <m:t>*Q*T</m:t>
              </m:r>
            </m:num>
            <m:den>
              <m:r>
                <m:rPr>
                  <m:sty m:val="p"/>
                </m:rPr>
                <w:rPr>
                  <w:rFonts w:ascii="Cambria Math" w:hAnsi="Cambria Math"/>
                  <w:sz w:val="22"/>
                  <w:szCs w:val="22"/>
                </w:rPr>
                <m:t>HP-hr</m:t>
              </m:r>
            </m:den>
          </m:f>
          <m:r>
            <w:rPr>
              <w:rFonts w:ascii="Cambria Math" w:hAnsi="Cambria Math"/>
              <w:sz w:val="22"/>
              <w:szCs w:val="22"/>
            </w:rPr>
            <m:t xml:space="preserve">     (</m:t>
          </m:r>
          <m:r>
            <m:rPr>
              <m:sty m:val="p"/>
            </m:rPr>
            <w:rPr>
              <w:rFonts w:ascii="Cambria Math" w:hAnsi="Cambria Math"/>
              <w:sz w:val="22"/>
              <w:szCs w:val="22"/>
            </w:rPr>
            <m:t xml:space="preserve">Equation </m:t>
          </m:r>
          <m:r>
            <w:rPr>
              <w:rFonts w:ascii="Cambria Math" w:hAnsi="Cambria Math"/>
              <w:sz w:val="22"/>
              <w:szCs w:val="22"/>
            </w:rPr>
            <m:t>2)</m:t>
          </m:r>
        </m:oMath>
      </m:oMathPara>
    </w:p>
    <w:p w:rsidR="00DD50B1" w:rsidRDefault="00DD50B1" w:rsidP="00DD50B1">
      <w:pPr>
        <w:spacing w:after="120"/>
        <w:ind w:left="720"/>
        <w:rPr>
          <w:sz w:val="22"/>
          <w:szCs w:val="22"/>
        </w:rPr>
      </w:pPr>
      <w:r>
        <w:rPr>
          <w:sz w:val="22"/>
          <w:szCs w:val="22"/>
        </w:rPr>
        <w:t>Where:</w:t>
      </w:r>
    </w:p>
    <w:p w:rsidR="00AF704B" w:rsidRDefault="00AF704B" w:rsidP="00AF704B">
      <w:pPr>
        <w:spacing w:after="120"/>
        <w:ind w:left="720"/>
        <w:contextualSpacing/>
        <w:rPr>
          <w:sz w:val="22"/>
          <w:szCs w:val="22"/>
        </w:rPr>
      </w:pPr>
      <w:r>
        <w:rPr>
          <w:sz w:val="22"/>
          <w:szCs w:val="22"/>
        </w:rPr>
        <w:t>ER = emission rate of CO in g/HP-hr;</w:t>
      </w:r>
    </w:p>
    <w:p w:rsidR="00AF704B" w:rsidRDefault="00AF704B" w:rsidP="00AF704B">
      <w:pPr>
        <w:spacing w:after="120"/>
        <w:ind w:left="720"/>
        <w:contextualSpacing/>
        <w:rPr>
          <w:sz w:val="22"/>
          <w:szCs w:val="22"/>
        </w:rPr>
      </w:pPr>
      <w:r>
        <w:rPr>
          <w:sz w:val="22"/>
          <w:szCs w:val="22"/>
        </w:rPr>
        <w:t>C</w:t>
      </w:r>
      <w:r>
        <w:rPr>
          <w:sz w:val="22"/>
          <w:szCs w:val="22"/>
          <w:vertAlign w:val="subscript"/>
        </w:rPr>
        <w:t>d</w:t>
      </w:r>
      <w:r>
        <w:rPr>
          <w:sz w:val="22"/>
          <w:szCs w:val="22"/>
        </w:rPr>
        <w:t xml:space="preserve"> = measured CO concentration in ppmv;</w:t>
      </w:r>
    </w:p>
    <w:p w:rsidR="00AF704B" w:rsidRDefault="00AF704B" w:rsidP="00AF704B">
      <w:pPr>
        <w:spacing w:after="120"/>
        <w:ind w:left="720"/>
        <w:contextualSpacing/>
        <w:rPr>
          <w:sz w:val="22"/>
          <w:szCs w:val="22"/>
        </w:rPr>
      </w:pPr>
      <w:r>
        <w:rPr>
          <w:sz w:val="22"/>
          <w:szCs w:val="22"/>
        </w:rPr>
        <w:t>1.164x10</w:t>
      </w:r>
      <w:r>
        <w:rPr>
          <w:sz w:val="22"/>
          <w:szCs w:val="22"/>
          <w:vertAlign w:val="superscript"/>
        </w:rPr>
        <w:t>-3</w:t>
      </w:r>
      <w:r>
        <w:rPr>
          <w:sz w:val="22"/>
          <w:szCs w:val="22"/>
        </w:rPr>
        <w:t xml:space="preserve"> = conversion constant for ppm CO to grams per standard cubic meter at 20°C;</w:t>
      </w:r>
    </w:p>
    <w:p w:rsidR="00AF704B" w:rsidRDefault="00495101" w:rsidP="00AF704B">
      <w:pPr>
        <w:spacing w:after="120"/>
        <w:ind w:left="720"/>
        <w:contextualSpacing/>
        <w:rPr>
          <w:sz w:val="22"/>
          <w:szCs w:val="22"/>
        </w:rPr>
      </w:pPr>
      <w:r>
        <w:rPr>
          <w:sz w:val="22"/>
          <w:szCs w:val="22"/>
        </w:rPr>
        <w:t>Q = stack gas volumetric flow rate, in standard cubic meters per hour, dry basis;</w:t>
      </w:r>
    </w:p>
    <w:p w:rsidR="00495101" w:rsidRDefault="00495101" w:rsidP="00AF704B">
      <w:pPr>
        <w:spacing w:after="120"/>
        <w:ind w:left="720"/>
        <w:contextualSpacing/>
        <w:rPr>
          <w:sz w:val="22"/>
          <w:szCs w:val="22"/>
        </w:rPr>
      </w:pPr>
      <w:r>
        <w:rPr>
          <w:sz w:val="22"/>
          <w:szCs w:val="22"/>
        </w:rPr>
        <w:t>T = time of test run, in hours; and</w:t>
      </w:r>
    </w:p>
    <w:p w:rsidR="00495101" w:rsidRDefault="00495101" w:rsidP="00495101">
      <w:pPr>
        <w:spacing w:after="120"/>
        <w:ind w:left="720"/>
        <w:rPr>
          <w:sz w:val="22"/>
          <w:szCs w:val="22"/>
        </w:rPr>
      </w:pPr>
      <w:r>
        <w:rPr>
          <w:sz w:val="22"/>
          <w:szCs w:val="22"/>
        </w:rPr>
        <w:t>HP-hr = brake work of the engine, in HP-hr.</w:t>
      </w:r>
    </w:p>
    <w:p w:rsidR="00495101" w:rsidRDefault="00495101" w:rsidP="00495101">
      <w:pPr>
        <w:pStyle w:val="ListParagraph"/>
        <w:numPr>
          <w:ilvl w:val="0"/>
          <w:numId w:val="24"/>
        </w:numPr>
        <w:spacing w:after="120"/>
        <w:ind w:left="720"/>
        <w:rPr>
          <w:sz w:val="22"/>
          <w:szCs w:val="22"/>
        </w:rPr>
      </w:pPr>
      <w:r>
        <w:rPr>
          <w:sz w:val="22"/>
          <w:szCs w:val="22"/>
        </w:rPr>
        <w:t>When calculating emissions of VOC, emissions of formaldehyde should not be included.  To determine compliance with the VOC mass per unit output emission limitation, convert the concentration of VOC in the engine exhaust using Equation 3 of this condition:</w:t>
      </w:r>
    </w:p>
    <w:p w:rsidR="00495101" w:rsidRPr="008D19F7" w:rsidRDefault="008D19F7" w:rsidP="00495101">
      <w:pPr>
        <w:spacing w:after="120"/>
        <w:ind w:left="720"/>
        <w:rPr>
          <w:sz w:val="22"/>
          <w:szCs w:val="22"/>
        </w:rPr>
      </w:pPr>
      <m:oMathPara>
        <m:oMath>
          <m:r>
            <m:rPr>
              <m:sty m:val="p"/>
            </m:rPr>
            <w:rPr>
              <w:rFonts w:ascii="Cambria Math" w:hAnsi="Cambria Math"/>
              <w:sz w:val="22"/>
              <w:szCs w:val="22"/>
            </w:rPr>
            <m:t>ER=</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d</m:t>
                  </m:r>
                </m:sub>
              </m:sSub>
              <m:r>
                <m:rPr>
                  <m:sty m:val="p"/>
                </m:rPr>
                <w:rPr>
                  <w:rFonts w:ascii="Cambria Math" w:hAnsi="Cambria Math"/>
                  <w:sz w:val="22"/>
                  <w:szCs w:val="22"/>
                </w:rPr>
                <m:t>*1.833x</m:t>
              </m:r>
              <m:sSup>
                <m:sSupPr>
                  <m:ctrlPr>
                    <w:rPr>
                      <w:rFonts w:ascii="Cambria Math" w:hAnsi="Cambria Math"/>
                      <w:sz w:val="22"/>
                      <w:szCs w:val="22"/>
                    </w:rPr>
                  </m:ctrlPr>
                </m:sSupPr>
                <m:e>
                  <m:r>
                    <m:rPr>
                      <m:sty m:val="p"/>
                    </m:rPr>
                    <w:rPr>
                      <w:rFonts w:ascii="Cambria Math" w:hAnsi="Cambria Math"/>
                      <w:sz w:val="22"/>
                      <w:szCs w:val="22"/>
                    </w:rPr>
                    <m:t>10</m:t>
                  </m:r>
                </m:e>
                <m:sup>
                  <m:r>
                    <m:rPr>
                      <m:sty m:val="p"/>
                    </m:rPr>
                    <w:rPr>
                      <w:rFonts w:ascii="Cambria Math" w:hAnsi="Cambria Math"/>
                      <w:sz w:val="22"/>
                      <w:szCs w:val="22"/>
                    </w:rPr>
                    <m:t>-3</m:t>
                  </m:r>
                </m:sup>
              </m:sSup>
              <m:r>
                <m:rPr>
                  <m:sty m:val="p"/>
                </m:rPr>
                <w:rPr>
                  <w:rFonts w:ascii="Cambria Math" w:hAnsi="Cambria Math"/>
                  <w:sz w:val="22"/>
                  <w:szCs w:val="22"/>
                </w:rPr>
                <m:t>*Q*T</m:t>
              </m:r>
            </m:num>
            <m:den>
              <m:r>
                <m:rPr>
                  <m:sty m:val="p"/>
                </m:rPr>
                <w:rPr>
                  <w:rFonts w:ascii="Cambria Math" w:hAnsi="Cambria Math"/>
                  <w:sz w:val="22"/>
                  <w:szCs w:val="22"/>
                </w:rPr>
                <m:t>HP-hr</m:t>
              </m:r>
            </m:den>
          </m:f>
          <m:r>
            <w:rPr>
              <w:rFonts w:ascii="Cambria Math" w:hAnsi="Cambria Math"/>
              <w:sz w:val="22"/>
              <w:szCs w:val="22"/>
            </w:rPr>
            <m:t xml:space="preserve">     (</m:t>
          </m:r>
          <m:r>
            <m:rPr>
              <m:sty m:val="p"/>
            </m:rPr>
            <w:rPr>
              <w:rFonts w:ascii="Cambria Math" w:hAnsi="Cambria Math"/>
              <w:sz w:val="22"/>
              <w:szCs w:val="22"/>
            </w:rPr>
            <m:t>Equation</m:t>
          </m:r>
          <m:r>
            <w:rPr>
              <w:rFonts w:ascii="Cambria Math" w:hAnsi="Cambria Math"/>
              <w:sz w:val="22"/>
              <w:szCs w:val="22"/>
            </w:rPr>
            <m:t xml:space="preserve"> 3)</m:t>
          </m:r>
        </m:oMath>
      </m:oMathPara>
    </w:p>
    <w:p w:rsidR="00AC0988" w:rsidRDefault="00AC0988" w:rsidP="00495101">
      <w:pPr>
        <w:spacing w:after="120"/>
        <w:ind w:left="720"/>
        <w:rPr>
          <w:sz w:val="22"/>
          <w:szCs w:val="22"/>
        </w:rPr>
      </w:pPr>
      <w:r>
        <w:rPr>
          <w:sz w:val="22"/>
          <w:szCs w:val="22"/>
        </w:rPr>
        <w:t>Where:</w:t>
      </w:r>
    </w:p>
    <w:p w:rsidR="00AC0988" w:rsidRDefault="00BD305E" w:rsidP="00AC0988">
      <w:pPr>
        <w:spacing w:after="120"/>
        <w:ind w:left="720"/>
        <w:contextualSpacing/>
        <w:rPr>
          <w:sz w:val="22"/>
          <w:szCs w:val="22"/>
        </w:rPr>
      </w:pPr>
      <w:r>
        <w:rPr>
          <w:sz w:val="22"/>
          <w:szCs w:val="22"/>
        </w:rPr>
        <w:t>ER = emission rate of VOC in g/HP-hr;</w:t>
      </w:r>
    </w:p>
    <w:p w:rsidR="00BD305E" w:rsidRDefault="00BD305E" w:rsidP="00AC0988">
      <w:pPr>
        <w:spacing w:after="120"/>
        <w:ind w:left="720"/>
        <w:contextualSpacing/>
        <w:rPr>
          <w:sz w:val="22"/>
          <w:szCs w:val="22"/>
        </w:rPr>
      </w:pPr>
      <w:r>
        <w:rPr>
          <w:sz w:val="22"/>
          <w:szCs w:val="22"/>
        </w:rPr>
        <w:t>C</w:t>
      </w:r>
      <w:r>
        <w:rPr>
          <w:sz w:val="22"/>
          <w:szCs w:val="22"/>
          <w:vertAlign w:val="subscript"/>
        </w:rPr>
        <w:t>d</w:t>
      </w:r>
      <w:r>
        <w:rPr>
          <w:sz w:val="22"/>
          <w:szCs w:val="22"/>
        </w:rPr>
        <w:t xml:space="preserve"> = VOC concentration, measured as propane, in ppmv;</w:t>
      </w:r>
    </w:p>
    <w:p w:rsidR="00A50B02" w:rsidRDefault="00BD305E" w:rsidP="00A50B02">
      <w:pPr>
        <w:spacing w:after="120"/>
        <w:ind w:left="720"/>
        <w:contextualSpacing/>
        <w:rPr>
          <w:sz w:val="22"/>
          <w:szCs w:val="22"/>
        </w:rPr>
      </w:pPr>
      <w:r>
        <w:rPr>
          <w:sz w:val="22"/>
          <w:szCs w:val="22"/>
        </w:rPr>
        <w:t>1.833x10</w:t>
      </w:r>
      <w:r>
        <w:rPr>
          <w:sz w:val="22"/>
          <w:szCs w:val="22"/>
          <w:vertAlign w:val="superscript"/>
        </w:rPr>
        <w:t>-3</w:t>
      </w:r>
      <w:r>
        <w:rPr>
          <w:sz w:val="22"/>
          <w:szCs w:val="22"/>
        </w:rPr>
        <w:t xml:space="preserve"> = conversion constant for ppm VOC, measured as propane, to grams</w:t>
      </w:r>
      <w:r w:rsidR="00A50B02">
        <w:rPr>
          <w:sz w:val="22"/>
          <w:szCs w:val="22"/>
        </w:rPr>
        <w:t xml:space="preserve"> per standard cubic meter at 20°C;</w:t>
      </w:r>
    </w:p>
    <w:p w:rsidR="00A50B02" w:rsidRDefault="00A50B02" w:rsidP="00A50B02">
      <w:pPr>
        <w:spacing w:after="120"/>
        <w:ind w:left="720"/>
        <w:contextualSpacing/>
        <w:rPr>
          <w:sz w:val="22"/>
          <w:szCs w:val="22"/>
        </w:rPr>
      </w:pPr>
      <w:r>
        <w:rPr>
          <w:sz w:val="22"/>
          <w:szCs w:val="22"/>
        </w:rPr>
        <w:t>Q = stack gas volumetric flow rate, in standard cubic meters per hour, dry basis;</w:t>
      </w:r>
    </w:p>
    <w:p w:rsidR="00A50B02" w:rsidRDefault="00A50B02" w:rsidP="00A50B02">
      <w:pPr>
        <w:spacing w:after="120"/>
        <w:ind w:left="720"/>
        <w:contextualSpacing/>
        <w:rPr>
          <w:sz w:val="22"/>
          <w:szCs w:val="22"/>
        </w:rPr>
      </w:pPr>
      <w:r>
        <w:rPr>
          <w:sz w:val="22"/>
          <w:szCs w:val="22"/>
        </w:rPr>
        <w:t>T = time of test run, in hours; and</w:t>
      </w:r>
    </w:p>
    <w:p w:rsidR="00A50B02" w:rsidRDefault="00A50B02" w:rsidP="00A50B02">
      <w:pPr>
        <w:spacing w:after="120"/>
        <w:ind w:left="720"/>
        <w:rPr>
          <w:sz w:val="22"/>
          <w:szCs w:val="22"/>
        </w:rPr>
      </w:pPr>
      <w:r>
        <w:rPr>
          <w:sz w:val="22"/>
          <w:szCs w:val="22"/>
        </w:rPr>
        <w:t>HP-hr = brake work of the engine, in HP-hr.</w:t>
      </w:r>
    </w:p>
    <w:p w:rsidR="00A50B02" w:rsidRDefault="009675D6" w:rsidP="00A50B02">
      <w:pPr>
        <w:pStyle w:val="ListParagraph"/>
        <w:numPr>
          <w:ilvl w:val="0"/>
          <w:numId w:val="24"/>
        </w:numPr>
        <w:spacing w:after="120"/>
        <w:ind w:left="720"/>
        <w:rPr>
          <w:sz w:val="22"/>
          <w:szCs w:val="22"/>
        </w:rPr>
      </w:pPr>
      <w:r>
        <w:rPr>
          <w:sz w:val="22"/>
          <w:szCs w:val="22"/>
        </w:rPr>
        <w:t>If the owner or operator chooses to measure VOC emission using either Method 18 of 40 CFR part 60, appendix A, or Method 320 of 40 CFR part 63, appendix A, then it has the option of correcting the measured VOC emissions to account for the potential differences in measured values between these methods and Method 25A.  The results from Method 18 and Method 320 can be corrected for response factor differences using Equations 4 and 5 of this condition.  The corrected VOC concentration can then be placed on a propane basis using Equation 6 of this condition.</w:t>
      </w:r>
    </w:p>
    <w:p w:rsidR="009675D6" w:rsidRPr="00FE236C" w:rsidRDefault="00876517" w:rsidP="00FE236C">
      <w:pPr>
        <w:spacing w:after="120"/>
        <w:ind w:left="720"/>
        <w:rPr>
          <w:sz w:val="22"/>
          <w:szCs w:val="22"/>
        </w:rPr>
      </w:pPr>
      <m:oMathPara>
        <m:oMathParaPr>
          <m:jc m:val="center"/>
        </m:oMathParaPr>
        <m:oMath>
          <m:sSub>
            <m:sSubPr>
              <m:ctrlPr>
                <w:rPr>
                  <w:rFonts w:ascii="Cambria Math" w:hAnsi="Cambria Math"/>
                  <w:sz w:val="22"/>
                  <w:szCs w:val="22"/>
                </w:rPr>
              </m:ctrlPr>
            </m:sSubPr>
            <m:e>
              <m:r>
                <m:rPr>
                  <m:sty m:val="p"/>
                </m:rPr>
                <w:rPr>
                  <w:rFonts w:ascii="Cambria Math" w:hAnsi="Cambria Math"/>
                  <w:sz w:val="22"/>
                  <w:szCs w:val="22"/>
                </w:rPr>
                <m:t>RF</m:t>
              </m:r>
            </m:e>
            <m:sub>
              <m:r>
                <m:rPr>
                  <m:sty m:val="p"/>
                </m:rPr>
                <w:rPr>
                  <w:rFonts w:ascii="Cambria Math" w:hAnsi="Cambria Math"/>
                  <w:sz w:val="22"/>
                  <w:szCs w:val="22"/>
                </w:rPr>
                <m:t>i</m:t>
              </m:r>
            </m:sub>
          </m:sSub>
          <m:r>
            <m:rPr>
              <m:sty m:val="p"/>
            </m:rPr>
            <w:rPr>
              <w:rFonts w:ascii="Cambria Math" w:hAnsi="Cambria Math"/>
              <w:sz w:val="22"/>
              <w:szCs w:val="22"/>
            </w:rPr>
            <m:t>=</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Mi</m:t>
                  </m:r>
                </m:sub>
              </m:sSub>
            </m:num>
            <m:den>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Ai</m:t>
                  </m:r>
                </m:sub>
              </m:sSub>
            </m:den>
          </m:f>
          <m:r>
            <m:rPr>
              <m:sty m:val="p"/>
            </m:rPr>
            <w:rPr>
              <w:rFonts w:ascii="Cambria Math" w:hAnsi="Cambria Math"/>
              <w:sz w:val="22"/>
              <w:szCs w:val="22"/>
            </w:rPr>
            <m:t xml:space="preserve">     (Equation 4</m:t>
          </m:r>
          <m:r>
            <w:rPr>
              <w:rFonts w:ascii="Cambria Math" w:hAnsi="Cambria Math"/>
              <w:sz w:val="22"/>
              <w:szCs w:val="22"/>
            </w:rPr>
            <m:t>)</m:t>
          </m:r>
        </m:oMath>
      </m:oMathPara>
    </w:p>
    <w:p w:rsidR="00FE236C" w:rsidRDefault="00FE236C" w:rsidP="00FE236C">
      <w:pPr>
        <w:spacing w:after="120"/>
        <w:ind w:left="720"/>
        <w:rPr>
          <w:sz w:val="22"/>
          <w:szCs w:val="22"/>
        </w:rPr>
      </w:pPr>
      <w:r>
        <w:rPr>
          <w:sz w:val="22"/>
          <w:szCs w:val="22"/>
        </w:rPr>
        <w:t>Where:</w:t>
      </w:r>
    </w:p>
    <w:p w:rsidR="00FE236C" w:rsidRDefault="00FE236C" w:rsidP="00D627E3">
      <w:pPr>
        <w:spacing w:after="120"/>
        <w:ind w:left="720"/>
        <w:contextualSpacing/>
        <w:rPr>
          <w:sz w:val="22"/>
          <w:szCs w:val="22"/>
        </w:rPr>
      </w:pPr>
      <w:proofErr w:type="spellStart"/>
      <w:r>
        <w:rPr>
          <w:sz w:val="22"/>
          <w:szCs w:val="22"/>
        </w:rPr>
        <w:t>RF</w:t>
      </w:r>
      <w:r>
        <w:rPr>
          <w:sz w:val="22"/>
          <w:szCs w:val="22"/>
          <w:vertAlign w:val="subscript"/>
        </w:rPr>
        <w:t>i</w:t>
      </w:r>
      <w:proofErr w:type="spellEnd"/>
      <w:r>
        <w:rPr>
          <w:sz w:val="22"/>
          <w:szCs w:val="22"/>
        </w:rPr>
        <w:t xml:space="preserve"> = response factor of compound i when measured with EPA Method 25A;</w:t>
      </w:r>
    </w:p>
    <w:p w:rsidR="00FE236C" w:rsidRDefault="00FE236C" w:rsidP="00D627E3">
      <w:pPr>
        <w:spacing w:after="120"/>
        <w:ind w:left="720"/>
        <w:contextualSpacing/>
        <w:rPr>
          <w:sz w:val="22"/>
          <w:szCs w:val="22"/>
        </w:rPr>
      </w:pPr>
      <w:proofErr w:type="spellStart"/>
      <w:r>
        <w:rPr>
          <w:sz w:val="22"/>
          <w:szCs w:val="22"/>
        </w:rPr>
        <w:t>C</w:t>
      </w:r>
      <w:r>
        <w:rPr>
          <w:sz w:val="22"/>
          <w:szCs w:val="22"/>
          <w:vertAlign w:val="subscript"/>
        </w:rPr>
        <w:t>Mi</w:t>
      </w:r>
      <w:proofErr w:type="spellEnd"/>
      <w:r>
        <w:rPr>
          <w:sz w:val="22"/>
          <w:szCs w:val="22"/>
        </w:rPr>
        <w:t xml:space="preserve"> = measured concentration of compound i in ppmv as carbon; and</w:t>
      </w:r>
    </w:p>
    <w:p w:rsidR="00FE236C" w:rsidRDefault="00FE236C" w:rsidP="00FE236C">
      <w:pPr>
        <w:spacing w:after="120"/>
        <w:ind w:left="720"/>
        <w:rPr>
          <w:sz w:val="22"/>
          <w:szCs w:val="22"/>
        </w:rPr>
      </w:pPr>
      <w:proofErr w:type="spellStart"/>
      <w:r>
        <w:rPr>
          <w:sz w:val="22"/>
          <w:szCs w:val="22"/>
        </w:rPr>
        <w:t>C</w:t>
      </w:r>
      <w:r>
        <w:rPr>
          <w:sz w:val="22"/>
          <w:szCs w:val="22"/>
          <w:vertAlign w:val="subscript"/>
        </w:rPr>
        <w:t>Ai</w:t>
      </w:r>
      <w:proofErr w:type="spellEnd"/>
      <w:r>
        <w:rPr>
          <w:sz w:val="22"/>
          <w:szCs w:val="22"/>
        </w:rPr>
        <w:t xml:space="preserve"> = true concentration of compound i in ppmv as carbon.</w:t>
      </w:r>
    </w:p>
    <w:p w:rsidR="00D627E3" w:rsidRPr="00D627E3" w:rsidRDefault="00876517" w:rsidP="00FE236C">
      <w:pPr>
        <w:spacing w:after="120"/>
        <w:ind w:left="7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icorr</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RF</m:t>
              </m:r>
            </m:e>
            <m:sub>
              <m:r>
                <m:rPr>
                  <m:sty m:val="p"/>
                </m:rP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imeas</m:t>
              </m:r>
            </m:sub>
          </m:sSub>
          <m:r>
            <m:rPr>
              <m:sty m:val="p"/>
            </m:rPr>
            <w:rPr>
              <w:rFonts w:ascii="Cambria Math" w:hAnsi="Cambria Math"/>
              <w:sz w:val="22"/>
              <w:szCs w:val="22"/>
            </w:rPr>
            <m:t xml:space="preserve">     (Equation 5)</m:t>
          </m:r>
        </m:oMath>
      </m:oMathPara>
    </w:p>
    <w:p w:rsidR="00D627E3" w:rsidRDefault="00D627E3" w:rsidP="00FE236C">
      <w:pPr>
        <w:spacing w:after="120"/>
        <w:ind w:left="720"/>
        <w:rPr>
          <w:sz w:val="22"/>
          <w:szCs w:val="22"/>
        </w:rPr>
      </w:pPr>
      <w:r>
        <w:rPr>
          <w:sz w:val="22"/>
          <w:szCs w:val="22"/>
        </w:rPr>
        <w:t>Where:</w:t>
      </w:r>
    </w:p>
    <w:p w:rsidR="00D86813" w:rsidRDefault="00D86813" w:rsidP="00D627E3">
      <w:pPr>
        <w:spacing w:after="120"/>
        <w:ind w:left="720"/>
        <w:contextualSpacing/>
        <w:rPr>
          <w:sz w:val="22"/>
          <w:szCs w:val="22"/>
        </w:rPr>
      </w:pPr>
      <w:proofErr w:type="spellStart"/>
      <w:r>
        <w:rPr>
          <w:sz w:val="22"/>
          <w:szCs w:val="22"/>
        </w:rPr>
        <w:t>RF</w:t>
      </w:r>
      <w:r>
        <w:rPr>
          <w:sz w:val="22"/>
          <w:szCs w:val="22"/>
          <w:vertAlign w:val="subscript"/>
        </w:rPr>
        <w:t>i</w:t>
      </w:r>
      <w:proofErr w:type="spellEnd"/>
      <w:r>
        <w:rPr>
          <w:sz w:val="22"/>
          <w:szCs w:val="22"/>
        </w:rPr>
        <w:t xml:space="preserve"> = response factor of compound i when measured with EPA Method 25A;</w:t>
      </w:r>
    </w:p>
    <w:p w:rsidR="00D627E3" w:rsidRDefault="00D627E3" w:rsidP="00D627E3">
      <w:pPr>
        <w:spacing w:after="120"/>
        <w:ind w:left="720"/>
        <w:contextualSpacing/>
        <w:rPr>
          <w:sz w:val="22"/>
          <w:szCs w:val="22"/>
        </w:rPr>
      </w:pPr>
      <w:proofErr w:type="spellStart"/>
      <w:r>
        <w:rPr>
          <w:sz w:val="22"/>
          <w:szCs w:val="22"/>
        </w:rPr>
        <w:t>C</w:t>
      </w:r>
      <w:r>
        <w:rPr>
          <w:sz w:val="22"/>
          <w:szCs w:val="22"/>
          <w:vertAlign w:val="subscript"/>
        </w:rPr>
        <w:t>icorr</w:t>
      </w:r>
      <w:proofErr w:type="spellEnd"/>
      <w:r>
        <w:rPr>
          <w:sz w:val="22"/>
          <w:szCs w:val="22"/>
        </w:rPr>
        <w:t xml:space="preserve"> = concentration of compound i corrected to the value that would have been measured by EPA Method 25A, ppmv as carbon; and</w:t>
      </w:r>
    </w:p>
    <w:p w:rsidR="00D627E3" w:rsidRDefault="00D627E3" w:rsidP="009344F6">
      <w:pPr>
        <w:tabs>
          <w:tab w:val="left" w:pos="9028"/>
        </w:tabs>
        <w:spacing w:after="120"/>
        <w:ind w:left="720"/>
        <w:rPr>
          <w:sz w:val="22"/>
          <w:szCs w:val="22"/>
        </w:rPr>
      </w:pPr>
      <w:proofErr w:type="spellStart"/>
      <w:r>
        <w:rPr>
          <w:sz w:val="22"/>
          <w:szCs w:val="22"/>
        </w:rPr>
        <w:t>C</w:t>
      </w:r>
      <w:r>
        <w:rPr>
          <w:sz w:val="22"/>
          <w:szCs w:val="22"/>
          <w:vertAlign w:val="subscript"/>
        </w:rPr>
        <w:t>imeas</w:t>
      </w:r>
      <w:proofErr w:type="spellEnd"/>
      <w:r>
        <w:rPr>
          <w:sz w:val="22"/>
          <w:szCs w:val="22"/>
        </w:rPr>
        <w:t xml:space="preserve"> = concentration of compound i measured by EPA Method 320, ppmv as carbon.</w:t>
      </w:r>
    </w:p>
    <w:p w:rsidR="009344F6" w:rsidRDefault="00876517" w:rsidP="009344F6">
      <w:pPr>
        <w:tabs>
          <w:tab w:val="left" w:pos="9028"/>
        </w:tabs>
        <w:spacing w:after="120"/>
        <w:ind w:left="7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Peq</m:t>
              </m:r>
            </m:sub>
          </m:sSub>
          <m:r>
            <m:rPr>
              <m:sty m:val="p"/>
            </m:rPr>
            <w:rPr>
              <w:rFonts w:ascii="Cambria Math" w:hAnsi="Cambria Math"/>
              <w:sz w:val="22"/>
              <w:szCs w:val="22"/>
            </w:rPr>
            <m:t>=0.6098*</m:t>
          </m:r>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icorr</m:t>
              </m:r>
            </m:sub>
          </m:sSub>
          <m:r>
            <m:rPr>
              <m:sty m:val="p"/>
            </m:rPr>
            <w:rPr>
              <w:rFonts w:ascii="Cambria Math" w:hAnsi="Cambria Math"/>
              <w:sz w:val="22"/>
              <w:szCs w:val="22"/>
            </w:rPr>
            <m:t xml:space="preserve">     (Equation 6</m:t>
          </m:r>
          <m:r>
            <w:rPr>
              <w:rFonts w:ascii="Cambria Math" w:hAnsi="Cambria Math"/>
              <w:sz w:val="22"/>
              <w:szCs w:val="22"/>
            </w:rPr>
            <m:t>)</m:t>
          </m:r>
        </m:oMath>
      </m:oMathPara>
    </w:p>
    <w:p w:rsidR="009344F6" w:rsidRDefault="009344F6" w:rsidP="009344F6">
      <w:pPr>
        <w:tabs>
          <w:tab w:val="left" w:pos="9028"/>
        </w:tabs>
        <w:spacing w:after="120"/>
        <w:ind w:left="720"/>
        <w:rPr>
          <w:sz w:val="22"/>
          <w:szCs w:val="22"/>
        </w:rPr>
      </w:pPr>
      <w:r>
        <w:rPr>
          <w:sz w:val="22"/>
          <w:szCs w:val="22"/>
        </w:rPr>
        <w:t>Where:</w:t>
      </w:r>
    </w:p>
    <w:p w:rsidR="009344F6" w:rsidRDefault="009344F6" w:rsidP="009344F6">
      <w:pPr>
        <w:tabs>
          <w:tab w:val="left" w:pos="9028"/>
        </w:tabs>
        <w:spacing w:after="120"/>
        <w:ind w:left="720"/>
        <w:rPr>
          <w:sz w:val="22"/>
          <w:szCs w:val="22"/>
        </w:rPr>
      </w:pPr>
      <w:proofErr w:type="spellStart"/>
      <w:r>
        <w:rPr>
          <w:sz w:val="22"/>
          <w:szCs w:val="22"/>
        </w:rPr>
        <w:t>C</w:t>
      </w:r>
      <w:r>
        <w:rPr>
          <w:sz w:val="22"/>
          <w:szCs w:val="22"/>
          <w:vertAlign w:val="subscript"/>
        </w:rPr>
        <w:t>Peq</w:t>
      </w:r>
      <w:proofErr w:type="spellEnd"/>
      <w:r>
        <w:rPr>
          <w:sz w:val="22"/>
          <w:szCs w:val="22"/>
        </w:rPr>
        <w:t xml:space="preserve"> = concentration of compound i in mg of propane equivalent per dry standard cubic meter.</w:t>
      </w:r>
    </w:p>
    <w:p w:rsidR="00CB5926" w:rsidRDefault="00CB5926" w:rsidP="009344F6">
      <w:pPr>
        <w:tabs>
          <w:tab w:val="left" w:pos="9028"/>
        </w:tabs>
        <w:spacing w:after="120"/>
        <w:ind w:left="720"/>
        <w:rPr>
          <w:sz w:val="22"/>
          <w:szCs w:val="22"/>
        </w:rPr>
      </w:pPr>
      <w:r>
        <w:rPr>
          <w:sz w:val="22"/>
          <w:szCs w:val="22"/>
        </w:rPr>
        <w:t>[Rule 62-204.800, F.A.C.; and 40 CFR 60.4244]</w:t>
      </w:r>
    </w:p>
    <w:p w:rsidR="0061743E" w:rsidRDefault="0061743E" w:rsidP="009344F6">
      <w:pPr>
        <w:tabs>
          <w:tab w:val="left" w:pos="9028"/>
        </w:tabs>
        <w:spacing w:after="120"/>
        <w:ind w:left="720"/>
        <w:rPr>
          <w:sz w:val="22"/>
          <w:szCs w:val="22"/>
        </w:rPr>
      </w:pPr>
      <w:r>
        <w:rPr>
          <w:sz w:val="22"/>
          <w:szCs w:val="22"/>
        </w:rPr>
        <w:br w:type="page"/>
      </w:r>
    </w:p>
    <w:p w:rsidR="0061743E" w:rsidRDefault="00033D12" w:rsidP="009F4C6B">
      <w:pPr>
        <w:pStyle w:val="ListParagraph"/>
        <w:numPr>
          <w:ilvl w:val="0"/>
          <w:numId w:val="22"/>
        </w:numPr>
        <w:spacing w:after="120"/>
        <w:ind w:left="360"/>
        <w:contextualSpacing w:val="0"/>
        <w:rPr>
          <w:sz w:val="22"/>
          <w:szCs w:val="22"/>
        </w:rPr>
      </w:pPr>
      <w:r>
        <w:rPr>
          <w:sz w:val="22"/>
          <w:szCs w:val="22"/>
          <w:u w:val="single"/>
        </w:rPr>
        <w:t>Test Methods</w:t>
      </w:r>
      <w:r>
        <w:rPr>
          <w:sz w:val="22"/>
          <w:szCs w:val="22"/>
        </w:rPr>
        <w:t xml:space="preserve">:  </w:t>
      </w:r>
      <w:r w:rsidR="0098793B">
        <w:rPr>
          <w:sz w:val="22"/>
          <w:szCs w:val="22"/>
        </w:rPr>
        <w:t>Required tests shall be performed in accordance with the following reference methods:</w:t>
      </w:r>
    </w:p>
    <w:tbl>
      <w:tblPr>
        <w:tblW w:w="9720" w:type="dxa"/>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03"/>
        <w:gridCol w:w="8517"/>
      </w:tblGrid>
      <w:tr w:rsidR="006171A4" w:rsidRPr="006A5D1D" w:rsidTr="00401F36">
        <w:trPr>
          <w:tblHeader/>
        </w:trPr>
        <w:tc>
          <w:tcPr>
            <w:tcW w:w="1203" w:type="dxa"/>
            <w:tcBorders>
              <w:top w:val="single" w:sz="12" w:space="0" w:color="auto"/>
              <w:left w:val="single" w:sz="12" w:space="0" w:color="auto"/>
              <w:bottom w:val="single" w:sz="12" w:space="0" w:color="auto"/>
              <w:right w:val="single" w:sz="4" w:space="0" w:color="auto"/>
            </w:tcBorders>
            <w:shd w:val="clear" w:color="auto" w:fill="BDD6EE" w:themeFill="accent1" w:themeFillTint="66"/>
          </w:tcPr>
          <w:p w:rsidR="006171A4" w:rsidRPr="006A5D1D" w:rsidRDefault="006171A4" w:rsidP="00401F36">
            <w:pPr>
              <w:jc w:val="center"/>
              <w:rPr>
                <w:b/>
                <w:sz w:val="22"/>
                <w:szCs w:val="22"/>
              </w:rPr>
            </w:pPr>
            <w:r w:rsidRPr="006A5D1D">
              <w:rPr>
                <w:b/>
                <w:sz w:val="22"/>
                <w:szCs w:val="22"/>
              </w:rPr>
              <w:t>Method</w:t>
            </w:r>
          </w:p>
        </w:tc>
        <w:tc>
          <w:tcPr>
            <w:tcW w:w="8517" w:type="dxa"/>
            <w:tcBorders>
              <w:top w:val="single" w:sz="12" w:space="0" w:color="auto"/>
              <w:left w:val="single" w:sz="4" w:space="0" w:color="auto"/>
              <w:bottom w:val="single" w:sz="12" w:space="0" w:color="auto"/>
              <w:right w:val="single" w:sz="12" w:space="0" w:color="auto"/>
            </w:tcBorders>
            <w:shd w:val="clear" w:color="auto" w:fill="BDD6EE" w:themeFill="accent1" w:themeFillTint="66"/>
          </w:tcPr>
          <w:p w:rsidR="006171A4" w:rsidRPr="006A5D1D" w:rsidRDefault="006171A4" w:rsidP="00401F36">
            <w:pPr>
              <w:rPr>
                <w:b/>
                <w:sz w:val="22"/>
                <w:szCs w:val="22"/>
              </w:rPr>
            </w:pPr>
            <w:r w:rsidRPr="006A5D1D">
              <w:rPr>
                <w:b/>
                <w:sz w:val="22"/>
                <w:szCs w:val="22"/>
              </w:rPr>
              <w:t>Description of Method and Comments</w:t>
            </w:r>
          </w:p>
        </w:tc>
      </w:tr>
      <w:tr w:rsidR="006171A4" w:rsidRPr="006A5D1D" w:rsidTr="00401F36">
        <w:tc>
          <w:tcPr>
            <w:tcW w:w="1203" w:type="dxa"/>
            <w:tcBorders>
              <w:top w:val="single" w:sz="12" w:space="0" w:color="auto"/>
              <w:left w:val="single" w:sz="12" w:space="0" w:color="auto"/>
              <w:bottom w:val="single" w:sz="4" w:space="0" w:color="auto"/>
              <w:right w:val="single" w:sz="4" w:space="0" w:color="auto"/>
            </w:tcBorders>
            <w:vAlign w:val="center"/>
          </w:tcPr>
          <w:p w:rsidR="006171A4" w:rsidRPr="00AF2813" w:rsidRDefault="006171A4" w:rsidP="00401F36">
            <w:pPr>
              <w:jc w:val="center"/>
              <w:rPr>
                <w:sz w:val="22"/>
                <w:szCs w:val="22"/>
              </w:rPr>
            </w:pPr>
            <w:r w:rsidRPr="00AF2813">
              <w:rPr>
                <w:sz w:val="22"/>
                <w:szCs w:val="22"/>
              </w:rPr>
              <w:t>1-4</w:t>
            </w:r>
          </w:p>
        </w:tc>
        <w:tc>
          <w:tcPr>
            <w:tcW w:w="8517" w:type="dxa"/>
            <w:tcBorders>
              <w:top w:val="single" w:sz="12" w:space="0" w:color="auto"/>
              <w:left w:val="single" w:sz="4" w:space="0" w:color="auto"/>
              <w:bottom w:val="single" w:sz="4" w:space="0" w:color="auto"/>
              <w:right w:val="single" w:sz="12" w:space="0" w:color="auto"/>
            </w:tcBorders>
            <w:vAlign w:val="center"/>
          </w:tcPr>
          <w:p w:rsidR="006171A4" w:rsidRPr="00AF2813" w:rsidRDefault="006171A4" w:rsidP="00401F36">
            <w:pPr>
              <w:rPr>
                <w:sz w:val="22"/>
                <w:szCs w:val="22"/>
              </w:rPr>
            </w:pPr>
            <w:r w:rsidRPr="00AF2813">
              <w:rPr>
                <w:sz w:val="22"/>
                <w:szCs w:val="22"/>
              </w:rPr>
              <w:t>Traverse Points, Velocity and Flow Rate, Gas Analysis, and Moisture Content</w:t>
            </w:r>
          </w:p>
        </w:tc>
      </w:tr>
      <w:tr w:rsidR="006171A4" w:rsidRPr="006A5D1D" w:rsidTr="00401F36">
        <w:trPr>
          <w:trHeight w:val="225"/>
        </w:trPr>
        <w:tc>
          <w:tcPr>
            <w:tcW w:w="1203" w:type="dxa"/>
            <w:tcBorders>
              <w:top w:val="single" w:sz="4" w:space="0" w:color="auto"/>
              <w:left w:val="single" w:sz="12" w:space="0" w:color="auto"/>
              <w:bottom w:val="single" w:sz="4" w:space="0" w:color="auto"/>
              <w:right w:val="single" w:sz="4" w:space="0" w:color="auto"/>
            </w:tcBorders>
            <w:vAlign w:val="center"/>
          </w:tcPr>
          <w:p w:rsidR="006171A4" w:rsidRPr="00E407BF" w:rsidRDefault="006171A4" w:rsidP="00401F36">
            <w:pPr>
              <w:jc w:val="center"/>
              <w:rPr>
                <w:sz w:val="22"/>
                <w:szCs w:val="22"/>
              </w:rPr>
            </w:pPr>
            <w:r>
              <w:rPr>
                <w:sz w:val="22"/>
                <w:szCs w:val="22"/>
              </w:rPr>
              <w:t>7E</w:t>
            </w:r>
          </w:p>
        </w:tc>
        <w:tc>
          <w:tcPr>
            <w:tcW w:w="8517" w:type="dxa"/>
            <w:tcBorders>
              <w:top w:val="single" w:sz="4" w:space="0" w:color="auto"/>
              <w:left w:val="single" w:sz="4" w:space="0" w:color="auto"/>
              <w:bottom w:val="single" w:sz="4" w:space="0" w:color="auto"/>
              <w:right w:val="single" w:sz="12" w:space="0" w:color="auto"/>
            </w:tcBorders>
            <w:vAlign w:val="center"/>
          </w:tcPr>
          <w:p w:rsidR="006171A4" w:rsidRPr="00E407BF" w:rsidRDefault="006171A4" w:rsidP="00401F36">
            <w:pPr>
              <w:rPr>
                <w:sz w:val="22"/>
                <w:szCs w:val="22"/>
              </w:rPr>
            </w:pPr>
            <w:r>
              <w:rPr>
                <w:sz w:val="22"/>
                <w:szCs w:val="22"/>
              </w:rPr>
              <w:t>Determination of Nitrogen Oxide Emissions from Stationary Sources</w:t>
            </w:r>
          </w:p>
        </w:tc>
      </w:tr>
      <w:tr w:rsidR="006171A4" w:rsidRPr="006A5D1D" w:rsidTr="00401F36">
        <w:trPr>
          <w:trHeight w:val="225"/>
        </w:trPr>
        <w:tc>
          <w:tcPr>
            <w:tcW w:w="1203" w:type="dxa"/>
            <w:tcBorders>
              <w:top w:val="single" w:sz="4" w:space="0" w:color="auto"/>
              <w:left w:val="single" w:sz="12" w:space="0" w:color="auto"/>
              <w:bottom w:val="single" w:sz="4" w:space="0" w:color="auto"/>
              <w:right w:val="single" w:sz="4" w:space="0" w:color="auto"/>
            </w:tcBorders>
            <w:vAlign w:val="center"/>
          </w:tcPr>
          <w:p w:rsidR="006171A4" w:rsidRDefault="006171A4" w:rsidP="00401F36">
            <w:pPr>
              <w:jc w:val="center"/>
              <w:rPr>
                <w:sz w:val="22"/>
                <w:szCs w:val="22"/>
              </w:rPr>
            </w:pPr>
            <w:r>
              <w:rPr>
                <w:sz w:val="22"/>
                <w:szCs w:val="22"/>
              </w:rPr>
              <w:t>9</w:t>
            </w:r>
          </w:p>
        </w:tc>
        <w:tc>
          <w:tcPr>
            <w:tcW w:w="8517" w:type="dxa"/>
            <w:tcBorders>
              <w:top w:val="single" w:sz="4" w:space="0" w:color="auto"/>
              <w:left w:val="single" w:sz="4" w:space="0" w:color="auto"/>
              <w:bottom w:val="single" w:sz="4" w:space="0" w:color="auto"/>
              <w:right w:val="single" w:sz="12" w:space="0" w:color="auto"/>
            </w:tcBorders>
            <w:vAlign w:val="center"/>
          </w:tcPr>
          <w:p w:rsidR="006171A4" w:rsidRDefault="006171A4" w:rsidP="00401F36">
            <w:pPr>
              <w:rPr>
                <w:sz w:val="22"/>
                <w:szCs w:val="22"/>
              </w:rPr>
            </w:pPr>
            <w:r>
              <w:rPr>
                <w:sz w:val="22"/>
                <w:szCs w:val="22"/>
              </w:rPr>
              <w:t>Visual Determination of the Opacity of Emissions from Stationary Sources</w:t>
            </w:r>
          </w:p>
        </w:tc>
      </w:tr>
      <w:tr w:rsidR="006171A4" w:rsidRPr="006A5D1D" w:rsidTr="006171A4">
        <w:trPr>
          <w:trHeight w:val="225"/>
        </w:trPr>
        <w:tc>
          <w:tcPr>
            <w:tcW w:w="1203" w:type="dxa"/>
            <w:tcBorders>
              <w:top w:val="single" w:sz="4" w:space="0" w:color="auto"/>
              <w:left w:val="single" w:sz="12" w:space="0" w:color="auto"/>
              <w:bottom w:val="single" w:sz="4" w:space="0" w:color="auto"/>
              <w:right w:val="single" w:sz="4" w:space="0" w:color="auto"/>
            </w:tcBorders>
            <w:vAlign w:val="center"/>
          </w:tcPr>
          <w:p w:rsidR="006171A4" w:rsidRPr="00E407BF" w:rsidRDefault="006171A4" w:rsidP="00401F36">
            <w:pPr>
              <w:jc w:val="center"/>
              <w:rPr>
                <w:sz w:val="22"/>
                <w:szCs w:val="22"/>
              </w:rPr>
            </w:pPr>
            <w:r w:rsidRPr="00E407BF">
              <w:rPr>
                <w:sz w:val="22"/>
                <w:szCs w:val="22"/>
              </w:rPr>
              <w:t>10</w:t>
            </w:r>
          </w:p>
        </w:tc>
        <w:tc>
          <w:tcPr>
            <w:tcW w:w="8517" w:type="dxa"/>
            <w:tcBorders>
              <w:top w:val="single" w:sz="4" w:space="0" w:color="auto"/>
              <w:left w:val="single" w:sz="4" w:space="0" w:color="auto"/>
              <w:bottom w:val="single" w:sz="4" w:space="0" w:color="auto"/>
              <w:right w:val="single" w:sz="12" w:space="0" w:color="auto"/>
            </w:tcBorders>
            <w:vAlign w:val="center"/>
          </w:tcPr>
          <w:p w:rsidR="006171A4" w:rsidRPr="00E407BF" w:rsidRDefault="006171A4" w:rsidP="00401F36">
            <w:pPr>
              <w:rPr>
                <w:sz w:val="22"/>
                <w:szCs w:val="22"/>
              </w:rPr>
            </w:pPr>
            <w:r w:rsidRPr="00E407BF">
              <w:rPr>
                <w:sz w:val="22"/>
                <w:szCs w:val="22"/>
              </w:rPr>
              <w:t>Determination of Carbon Monoxide Emissions from Stationary Sources (Continuous Sampling Train)</w:t>
            </w:r>
          </w:p>
        </w:tc>
      </w:tr>
      <w:tr w:rsidR="006171A4" w:rsidRPr="006A5D1D" w:rsidTr="006171A4">
        <w:trPr>
          <w:trHeight w:val="225"/>
        </w:trPr>
        <w:tc>
          <w:tcPr>
            <w:tcW w:w="1203" w:type="dxa"/>
            <w:tcBorders>
              <w:top w:val="single" w:sz="4" w:space="0" w:color="auto"/>
              <w:left w:val="single" w:sz="12" w:space="0" w:color="auto"/>
              <w:bottom w:val="single" w:sz="4" w:space="0" w:color="auto"/>
              <w:right w:val="single" w:sz="4" w:space="0" w:color="auto"/>
            </w:tcBorders>
            <w:vAlign w:val="center"/>
          </w:tcPr>
          <w:p w:rsidR="006171A4" w:rsidRPr="00E407BF" w:rsidRDefault="006171A4" w:rsidP="00401F36">
            <w:pPr>
              <w:jc w:val="center"/>
              <w:rPr>
                <w:sz w:val="22"/>
                <w:szCs w:val="22"/>
              </w:rPr>
            </w:pPr>
            <w:r>
              <w:rPr>
                <w:sz w:val="22"/>
                <w:szCs w:val="22"/>
              </w:rPr>
              <w:t>18</w:t>
            </w:r>
          </w:p>
        </w:tc>
        <w:tc>
          <w:tcPr>
            <w:tcW w:w="8517" w:type="dxa"/>
            <w:tcBorders>
              <w:top w:val="single" w:sz="4" w:space="0" w:color="auto"/>
              <w:left w:val="single" w:sz="4" w:space="0" w:color="auto"/>
              <w:bottom w:val="single" w:sz="4" w:space="0" w:color="auto"/>
              <w:right w:val="single" w:sz="12" w:space="0" w:color="auto"/>
            </w:tcBorders>
            <w:vAlign w:val="center"/>
          </w:tcPr>
          <w:p w:rsidR="006171A4" w:rsidRPr="00E407BF" w:rsidRDefault="006171A4" w:rsidP="00401F36">
            <w:pPr>
              <w:rPr>
                <w:sz w:val="22"/>
                <w:szCs w:val="22"/>
              </w:rPr>
            </w:pPr>
            <w:r>
              <w:rPr>
                <w:sz w:val="22"/>
                <w:szCs w:val="22"/>
              </w:rPr>
              <w:t>Measurement of Gaseous Organic Compound Emissions by Gas Chromatography</w:t>
            </w:r>
          </w:p>
        </w:tc>
      </w:tr>
      <w:tr w:rsidR="006171A4" w:rsidRPr="006A5D1D" w:rsidTr="006171A4">
        <w:trPr>
          <w:trHeight w:val="225"/>
        </w:trPr>
        <w:tc>
          <w:tcPr>
            <w:tcW w:w="1203" w:type="dxa"/>
            <w:tcBorders>
              <w:top w:val="single" w:sz="4" w:space="0" w:color="auto"/>
              <w:left w:val="single" w:sz="12" w:space="0" w:color="auto"/>
              <w:bottom w:val="single" w:sz="4" w:space="0" w:color="auto"/>
              <w:right w:val="single" w:sz="4" w:space="0" w:color="auto"/>
            </w:tcBorders>
            <w:vAlign w:val="center"/>
          </w:tcPr>
          <w:p w:rsidR="006171A4" w:rsidRPr="00E407BF" w:rsidRDefault="006171A4" w:rsidP="00401F36">
            <w:pPr>
              <w:jc w:val="center"/>
              <w:rPr>
                <w:sz w:val="22"/>
                <w:szCs w:val="22"/>
              </w:rPr>
            </w:pPr>
            <w:r>
              <w:rPr>
                <w:sz w:val="22"/>
                <w:szCs w:val="22"/>
              </w:rPr>
              <w:t>25A</w:t>
            </w:r>
          </w:p>
        </w:tc>
        <w:tc>
          <w:tcPr>
            <w:tcW w:w="8517" w:type="dxa"/>
            <w:tcBorders>
              <w:top w:val="single" w:sz="4" w:space="0" w:color="auto"/>
              <w:left w:val="single" w:sz="4" w:space="0" w:color="auto"/>
              <w:bottom w:val="single" w:sz="4" w:space="0" w:color="auto"/>
              <w:right w:val="single" w:sz="12" w:space="0" w:color="auto"/>
            </w:tcBorders>
            <w:vAlign w:val="center"/>
          </w:tcPr>
          <w:p w:rsidR="006171A4" w:rsidRPr="00E407BF" w:rsidRDefault="006171A4" w:rsidP="00401F36">
            <w:pPr>
              <w:rPr>
                <w:sz w:val="22"/>
                <w:szCs w:val="22"/>
              </w:rPr>
            </w:pPr>
            <w:r>
              <w:rPr>
                <w:sz w:val="22"/>
                <w:szCs w:val="22"/>
              </w:rPr>
              <w:t>Determination of Total Gaseous Organic Concentration Using a Flame Ionization Analyzer</w:t>
            </w:r>
          </w:p>
        </w:tc>
      </w:tr>
      <w:tr w:rsidR="006171A4" w:rsidRPr="006A5D1D" w:rsidTr="00401F36">
        <w:trPr>
          <w:trHeight w:val="225"/>
        </w:trPr>
        <w:tc>
          <w:tcPr>
            <w:tcW w:w="1203" w:type="dxa"/>
            <w:tcBorders>
              <w:top w:val="single" w:sz="4" w:space="0" w:color="auto"/>
              <w:left w:val="single" w:sz="12" w:space="0" w:color="auto"/>
              <w:bottom w:val="single" w:sz="12" w:space="0" w:color="auto"/>
              <w:right w:val="single" w:sz="4" w:space="0" w:color="auto"/>
            </w:tcBorders>
            <w:vAlign w:val="center"/>
          </w:tcPr>
          <w:p w:rsidR="006171A4" w:rsidRPr="00E407BF" w:rsidRDefault="006171A4" w:rsidP="00401F36">
            <w:pPr>
              <w:jc w:val="center"/>
              <w:rPr>
                <w:sz w:val="22"/>
                <w:szCs w:val="22"/>
              </w:rPr>
            </w:pPr>
            <w:r>
              <w:rPr>
                <w:sz w:val="22"/>
                <w:szCs w:val="22"/>
              </w:rPr>
              <w:t>320</w:t>
            </w:r>
          </w:p>
        </w:tc>
        <w:tc>
          <w:tcPr>
            <w:tcW w:w="8517" w:type="dxa"/>
            <w:tcBorders>
              <w:top w:val="single" w:sz="4" w:space="0" w:color="auto"/>
              <w:left w:val="single" w:sz="4" w:space="0" w:color="auto"/>
              <w:bottom w:val="single" w:sz="12" w:space="0" w:color="auto"/>
              <w:right w:val="single" w:sz="12" w:space="0" w:color="auto"/>
            </w:tcBorders>
            <w:vAlign w:val="center"/>
          </w:tcPr>
          <w:p w:rsidR="006171A4" w:rsidRPr="00E407BF" w:rsidRDefault="006171A4" w:rsidP="00401F36">
            <w:pPr>
              <w:rPr>
                <w:sz w:val="22"/>
                <w:szCs w:val="22"/>
              </w:rPr>
            </w:pPr>
            <w:r>
              <w:rPr>
                <w:sz w:val="22"/>
                <w:szCs w:val="22"/>
              </w:rPr>
              <w:t>Measurement of Vapor Phase Organic and Inorganic Emissions by Extractive Fourier Transform Infrared (FTIR) Spectroscopy</w:t>
            </w:r>
          </w:p>
        </w:tc>
      </w:tr>
    </w:tbl>
    <w:p w:rsidR="0098793B" w:rsidRDefault="007E0221" w:rsidP="007F4690">
      <w:pPr>
        <w:spacing w:before="120" w:after="120"/>
        <w:ind w:left="360"/>
        <w:rPr>
          <w:sz w:val="22"/>
          <w:szCs w:val="22"/>
        </w:rPr>
      </w:pPr>
      <w:r>
        <w:rPr>
          <w:sz w:val="22"/>
          <w:szCs w:val="22"/>
        </w:rPr>
        <w:t>The above methods are described in Appendix A of 40 CFR 60 and Appendix A of 40 CFR 63 and are adopted and incorporated by reference in Rule 62-204.800, F.A.C.  No other methods may be used unless prior written approval is received from the Department.  [Rule 62-204.800, F.A.C.; Appendix A of 40 CFR 60; and Appendix A of 40 CFR 63]</w:t>
      </w:r>
    </w:p>
    <w:p w:rsidR="00553715" w:rsidRDefault="00553715" w:rsidP="007F4690">
      <w:pPr>
        <w:spacing w:after="120"/>
        <w:ind w:left="360"/>
        <w:rPr>
          <w:b/>
          <w:sz w:val="22"/>
          <w:szCs w:val="22"/>
        </w:rPr>
      </w:pPr>
      <w:r>
        <w:rPr>
          <w:b/>
          <w:sz w:val="22"/>
          <w:szCs w:val="22"/>
        </w:rPr>
        <w:t>RECORDS AND REPORTS</w:t>
      </w:r>
    </w:p>
    <w:p w:rsidR="007F4690" w:rsidRDefault="000301F0" w:rsidP="007F4690">
      <w:pPr>
        <w:pStyle w:val="ListParagraph"/>
        <w:numPr>
          <w:ilvl w:val="0"/>
          <w:numId w:val="22"/>
        </w:numPr>
        <w:spacing w:after="120"/>
        <w:ind w:left="360"/>
        <w:contextualSpacing w:val="0"/>
        <w:rPr>
          <w:sz w:val="22"/>
          <w:szCs w:val="22"/>
        </w:rPr>
      </w:pPr>
      <w:r>
        <w:rPr>
          <w:sz w:val="22"/>
          <w:szCs w:val="22"/>
          <w:u w:val="single"/>
        </w:rPr>
        <w:t>Fuel Use Records</w:t>
      </w:r>
      <w:r>
        <w:rPr>
          <w:sz w:val="22"/>
          <w:szCs w:val="22"/>
        </w:rPr>
        <w:t>:  The owner or operator shall keep records of the amount of digester gas consumed by each engine.  [</w:t>
      </w:r>
      <w:r w:rsidR="00BE3003">
        <w:rPr>
          <w:sz w:val="22"/>
          <w:szCs w:val="22"/>
        </w:rPr>
        <w:t>Permit No. 0990347-011-AF</w:t>
      </w:r>
      <w:r w:rsidR="00D518C1">
        <w:rPr>
          <w:sz w:val="22"/>
          <w:szCs w:val="22"/>
        </w:rPr>
        <w:t>]</w:t>
      </w:r>
    </w:p>
    <w:p w:rsidR="00EE5BAE" w:rsidRDefault="00EE5BAE" w:rsidP="00147C7F">
      <w:pPr>
        <w:pStyle w:val="ListParagraph"/>
        <w:numPr>
          <w:ilvl w:val="0"/>
          <w:numId w:val="22"/>
        </w:numPr>
        <w:ind w:left="360"/>
        <w:contextualSpacing w:val="0"/>
        <w:rPr>
          <w:sz w:val="22"/>
          <w:szCs w:val="22"/>
        </w:rPr>
      </w:pPr>
      <w:r>
        <w:rPr>
          <w:sz w:val="22"/>
          <w:szCs w:val="22"/>
          <w:u w:val="single"/>
        </w:rPr>
        <w:t>Maintenance Records and Certification</w:t>
      </w:r>
      <w:r>
        <w:rPr>
          <w:sz w:val="22"/>
          <w:szCs w:val="22"/>
        </w:rPr>
        <w:t xml:space="preserve">:  </w:t>
      </w:r>
      <w:r w:rsidR="00A66B2A">
        <w:rPr>
          <w:sz w:val="22"/>
          <w:szCs w:val="22"/>
        </w:rPr>
        <w:t>The owner or operator shall keep records of the following information:</w:t>
      </w:r>
    </w:p>
    <w:p w:rsidR="00A66B2A" w:rsidRDefault="00BC052F" w:rsidP="00147C7F">
      <w:pPr>
        <w:pStyle w:val="ListParagraph"/>
        <w:numPr>
          <w:ilvl w:val="0"/>
          <w:numId w:val="25"/>
        </w:numPr>
        <w:ind w:left="720"/>
        <w:contextualSpacing w:val="0"/>
        <w:rPr>
          <w:sz w:val="22"/>
          <w:szCs w:val="22"/>
        </w:rPr>
      </w:pPr>
      <w:r>
        <w:rPr>
          <w:sz w:val="22"/>
          <w:szCs w:val="22"/>
        </w:rPr>
        <w:t>All notifications submitted to comply with this permit and all documentation supporting any notification;</w:t>
      </w:r>
    </w:p>
    <w:p w:rsidR="00BC052F" w:rsidRDefault="00BC052F" w:rsidP="00147C7F">
      <w:pPr>
        <w:pStyle w:val="ListParagraph"/>
        <w:numPr>
          <w:ilvl w:val="0"/>
          <w:numId w:val="25"/>
        </w:numPr>
        <w:ind w:left="720"/>
        <w:contextualSpacing w:val="0"/>
        <w:rPr>
          <w:sz w:val="22"/>
          <w:szCs w:val="22"/>
        </w:rPr>
      </w:pPr>
      <w:r>
        <w:rPr>
          <w:sz w:val="22"/>
          <w:szCs w:val="22"/>
        </w:rPr>
        <w:t>Maintenance conducted on the engine; and</w:t>
      </w:r>
    </w:p>
    <w:p w:rsidR="00BC052F" w:rsidRDefault="00BC052F" w:rsidP="00147C7F">
      <w:pPr>
        <w:pStyle w:val="ListParagraph"/>
        <w:numPr>
          <w:ilvl w:val="0"/>
          <w:numId w:val="25"/>
        </w:numPr>
        <w:ind w:left="720"/>
        <w:contextualSpacing w:val="0"/>
        <w:rPr>
          <w:sz w:val="22"/>
          <w:szCs w:val="22"/>
        </w:rPr>
      </w:pPr>
      <w:r>
        <w:rPr>
          <w:sz w:val="22"/>
          <w:szCs w:val="22"/>
        </w:rPr>
        <w:t xml:space="preserve">Documentation that the engine meets the emission standards in Condition </w:t>
      </w:r>
      <w:r w:rsidRPr="00BC052F">
        <w:rPr>
          <w:b/>
          <w:sz w:val="22"/>
          <w:szCs w:val="22"/>
        </w:rPr>
        <w:fldChar w:fldCharType="begin"/>
      </w:r>
      <w:r w:rsidRPr="00BC052F">
        <w:rPr>
          <w:b/>
          <w:sz w:val="22"/>
          <w:szCs w:val="22"/>
        </w:rPr>
        <w:instrText xml:space="preserve"> REF _Ref510774787 \r \h </w:instrText>
      </w:r>
      <w:r>
        <w:rPr>
          <w:b/>
          <w:sz w:val="22"/>
          <w:szCs w:val="22"/>
        </w:rPr>
        <w:instrText xml:space="preserve"> \* MERGEFORMAT </w:instrText>
      </w:r>
      <w:r w:rsidRPr="00BC052F">
        <w:rPr>
          <w:b/>
          <w:sz w:val="22"/>
          <w:szCs w:val="22"/>
        </w:rPr>
      </w:r>
      <w:r w:rsidRPr="00BC052F">
        <w:rPr>
          <w:b/>
          <w:sz w:val="22"/>
          <w:szCs w:val="22"/>
        </w:rPr>
        <w:fldChar w:fldCharType="separate"/>
      </w:r>
      <w:r w:rsidR="003564EB">
        <w:rPr>
          <w:b/>
          <w:sz w:val="22"/>
          <w:szCs w:val="22"/>
        </w:rPr>
        <w:t>3</w:t>
      </w:r>
      <w:r w:rsidRPr="00BC052F">
        <w:rPr>
          <w:b/>
          <w:sz w:val="22"/>
          <w:szCs w:val="22"/>
        </w:rPr>
        <w:fldChar w:fldCharType="end"/>
      </w:r>
      <w:r>
        <w:rPr>
          <w:sz w:val="22"/>
          <w:szCs w:val="22"/>
        </w:rPr>
        <w:t xml:space="preserve"> of this section.</w:t>
      </w:r>
    </w:p>
    <w:p w:rsidR="00BC052F" w:rsidRDefault="00BC052F" w:rsidP="00BC052F">
      <w:pPr>
        <w:spacing w:after="120"/>
        <w:ind w:left="360"/>
        <w:rPr>
          <w:sz w:val="22"/>
          <w:szCs w:val="22"/>
        </w:rPr>
      </w:pPr>
      <w:r>
        <w:rPr>
          <w:sz w:val="22"/>
          <w:szCs w:val="22"/>
        </w:rPr>
        <w:t>[Rule 62-204.800, F.A.C.; and 40 CFR 60.4245(a)]</w:t>
      </w:r>
    </w:p>
    <w:p w:rsidR="00401F36" w:rsidRDefault="00073862" w:rsidP="002236BC">
      <w:pPr>
        <w:pStyle w:val="ListParagraph"/>
        <w:numPr>
          <w:ilvl w:val="0"/>
          <w:numId w:val="22"/>
        </w:numPr>
        <w:spacing w:after="120"/>
        <w:ind w:left="360"/>
        <w:contextualSpacing w:val="0"/>
        <w:rPr>
          <w:sz w:val="22"/>
          <w:szCs w:val="22"/>
        </w:rPr>
      </w:pPr>
      <w:r>
        <w:rPr>
          <w:sz w:val="22"/>
          <w:szCs w:val="22"/>
          <w:u w:val="single"/>
        </w:rPr>
        <w:t>Test Reports</w:t>
      </w:r>
      <w:r>
        <w:rPr>
          <w:sz w:val="22"/>
          <w:szCs w:val="22"/>
        </w:rPr>
        <w:t xml:space="preserve">:  </w:t>
      </w:r>
      <w:r w:rsidR="00851658">
        <w:rPr>
          <w:sz w:val="22"/>
          <w:szCs w:val="22"/>
        </w:rPr>
        <w:t>The owner or operator shall prepare and submit reports for all required tests in accordance with the requirements specified in Appendix D of this permit.  [Rule 62-297.310(10), F.A.C.]</w:t>
      </w:r>
    </w:p>
    <w:p w:rsidR="002236BC" w:rsidRDefault="002236BC" w:rsidP="00401F36">
      <w:pPr>
        <w:pStyle w:val="ListParagraph"/>
        <w:numPr>
          <w:ilvl w:val="0"/>
          <w:numId w:val="22"/>
        </w:numPr>
        <w:ind w:left="360"/>
        <w:contextualSpacing w:val="0"/>
        <w:rPr>
          <w:sz w:val="22"/>
          <w:szCs w:val="22"/>
        </w:rPr>
      </w:pPr>
      <w:r>
        <w:rPr>
          <w:sz w:val="22"/>
          <w:szCs w:val="22"/>
          <w:u w:val="single"/>
        </w:rPr>
        <w:t>Record Retention</w:t>
      </w:r>
      <w:r w:rsidR="003746A4">
        <w:rPr>
          <w:sz w:val="22"/>
          <w:szCs w:val="22"/>
        </w:rPr>
        <w:t>:</w:t>
      </w:r>
    </w:p>
    <w:p w:rsidR="003746A4" w:rsidRDefault="00156EB6" w:rsidP="003746A4">
      <w:pPr>
        <w:pStyle w:val="ListParagraph"/>
        <w:numPr>
          <w:ilvl w:val="0"/>
          <w:numId w:val="26"/>
        </w:numPr>
        <w:ind w:left="720"/>
        <w:contextualSpacing w:val="0"/>
        <w:rPr>
          <w:sz w:val="22"/>
          <w:szCs w:val="22"/>
        </w:rPr>
      </w:pPr>
      <w:r>
        <w:rPr>
          <w:sz w:val="22"/>
          <w:szCs w:val="22"/>
        </w:rPr>
        <w:t>The owner or operator must keep records in a suitable and readily available form for expeditious reviews.</w:t>
      </w:r>
    </w:p>
    <w:p w:rsidR="00156EB6" w:rsidRDefault="008E30E1" w:rsidP="003746A4">
      <w:pPr>
        <w:pStyle w:val="ListParagraph"/>
        <w:numPr>
          <w:ilvl w:val="0"/>
          <w:numId w:val="26"/>
        </w:numPr>
        <w:ind w:left="720"/>
        <w:contextualSpacing w:val="0"/>
        <w:rPr>
          <w:sz w:val="22"/>
          <w:szCs w:val="22"/>
        </w:rPr>
      </w:pPr>
      <w:r>
        <w:rPr>
          <w:sz w:val="22"/>
          <w:szCs w:val="22"/>
        </w:rPr>
        <w:t>The owner or operator must keep each record readily available in hard copy or electronic form for at least 5 years after the date of each occurrence, measurement, maintenance activity, corrective action, report, or record, according to 40 CFR 63.10(b)(1).</w:t>
      </w:r>
    </w:p>
    <w:p w:rsidR="008E30E1" w:rsidRDefault="008E30E1" w:rsidP="00E368F9">
      <w:pPr>
        <w:spacing w:after="120"/>
        <w:ind w:left="360"/>
        <w:rPr>
          <w:sz w:val="22"/>
          <w:szCs w:val="22"/>
        </w:rPr>
      </w:pPr>
      <w:r>
        <w:rPr>
          <w:sz w:val="22"/>
          <w:szCs w:val="22"/>
        </w:rPr>
        <w:t>[Rule 62-204.800, F.A.C.; and 40 CFR 63.6660 &amp; 63.10(b)(1)]</w:t>
      </w:r>
    </w:p>
    <w:p w:rsidR="00E368F9" w:rsidRDefault="00431A4E" w:rsidP="007915A4">
      <w:pPr>
        <w:pStyle w:val="ListParagraph"/>
        <w:numPr>
          <w:ilvl w:val="0"/>
          <w:numId w:val="22"/>
        </w:numPr>
        <w:ind w:left="360"/>
        <w:contextualSpacing w:val="0"/>
        <w:rPr>
          <w:sz w:val="22"/>
          <w:szCs w:val="22"/>
        </w:rPr>
      </w:pPr>
      <w:r>
        <w:rPr>
          <w:sz w:val="22"/>
          <w:szCs w:val="22"/>
          <w:u w:val="single"/>
        </w:rPr>
        <w:t>AOR Supplemental Information</w:t>
      </w:r>
      <w:r>
        <w:rPr>
          <w:sz w:val="22"/>
          <w:szCs w:val="22"/>
        </w:rPr>
        <w:t xml:space="preserve">:  </w:t>
      </w:r>
      <w:r w:rsidR="00E2385F">
        <w:rPr>
          <w:sz w:val="22"/>
          <w:szCs w:val="22"/>
        </w:rPr>
        <w:t>Annual operating reports required in Section 2 of this permit shall include the following supplemental information that was recorded in the previous calendar year:</w:t>
      </w:r>
    </w:p>
    <w:p w:rsidR="00110767" w:rsidRDefault="00110767" w:rsidP="007915A4">
      <w:pPr>
        <w:pStyle w:val="ListParagraph"/>
        <w:numPr>
          <w:ilvl w:val="0"/>
          <w:numId w:val="27"/>
        </w:numPr>
        <w:ind w:left="720"/>
        <w:contextualSpacing w:val="0"/>
        <w:rPr>
          <w:sz w:val="22"/>
          <w:szCs w:val="22"/>
        </w:rPr>
      </w:pPr>
      <w:r>
        <w:rPr>
          <w:sz w:val="22"/>
          <w:szCs w:val="22"/>
        </w:rPr>
        <w:t>The total number of hours each engine operated; and</w:t>
      </w:r>
    </w:p>
    <w:p w:rsidR="00110767" w:rsidRDefault="00110767" w:rsidP="007915A4">
      <w:pPr>
        <w:pStyle w:val="ListParagraph"/>
        <w:numPr>
          <w:ilvl w:val="0"/>
          <w:numId w:val="27"/>
        </w:numPr>
        <w:ind w:left="720"/>
        <w:contextualSpacing w:val="0"/>
        <w:rPr>
          <w:sz w:val="22"/>
          <w:szCs w:val="22"/>
        </w:rPr>
      </w:pPr>
      <w:r>
        <w:rPr>
          <w:sz w:val="22"/>
          <w:szCs w:val="22"/>
        </w:rPr>
        <w:t>The total amount of digester gas consumed by each engine.</w:t>
      </w:r>
    </w:p>
    <w:p w:rsidR="00110767" w:rsidRDefault="00110767" w:rsidP="00110767">
      <w:pPr>
        <w:spacing w:after="120"/>
        <w:ind w:left="360"/>
        <w:rPr>
          <w:sz w:val="22"/>
          <w:szCs w:val="22"/>
        </w:rPr>
      </w:pPr>
      <w:r>
        <w:rPr>
          <w:sz w:val="22"/>
          <w:szCs w:val="22"/>
        </w:rPr>
        <w:t>[</w:t>
      </w:r>
      <w:r w:rsidR="00CE2679">
        <w:rPr>
          <w:sz w:val="22"/>
          <w:szCs w:val="22"/>
        </w:rPr>
        <w:t>Permit No. 0990347-011-AF]</w:t>
      </w:r>
    </w:p>
    <w:p w:rsidR="0072065B" w:rsidRDefault="002D3488" w:rsidP="00D4403D">
      <w:pPr>
        <w:pStyle w:val="ListParagraph"/>
        <w:numPr>
          <w:ilvl w:val="0"/>
          <w:numId w:val="22"/>
        </w:numPr>
        <w:spacing w:after="120"/>
        <w:ind w:left="360"/>
        <w:contextualSpacing w:val="0"/>
        <w:rPr>
          <w:sz w:val="22"/>
          <w:szCs w:val="22"/>
        </w:rPr>
      </w:pPr>
      <w:r>
        <w:rPr>
          <w:sz w:val="22"/>
          <w:szCs w:val="22"/>
          <w:u w:val="single"/>
        </w:rPr>
        <w:t>40 CFR 60 Subpart A – General Provisions</w:t>
      </w:r>
      <w:r>
        <w:rPr>
          <w:sz w:val="22"/>
          <w:szCs w:val="22"/>
        </w:rPr>
        <w:t xml:space="preserve">:  </w:t>
      </w:r>
      <w:r w:rsidR="004D7A87">
        <w:rPr>
          <w:sz w:val="22"/>
          <w:szCs w:val="22"/>
        </w:rPr>
        <w:t>These SI ICE shall comply with all applicable requirements of 40 CFR 60 Subpart A – General Provisions, which have been adopted and incorporated by reference in Rule 62-204.800, F.A.C., except that the Secretary is not the Administrator for purposes of 40 CFR 60</w:t>
      </w:r>
      <w:r w:rsidR="008E2815">
        <w:rPr>
          <w:sz w:val="22"/>
          <w:szCs w:val="22"/>
        </w:rPr>
        <w:t>.4;</w:t>
      </w:r>
      <w:r w:rsidR="004D7A87">
        <w:rPr>
          <w:sz w:val="22"/>
          <w:szCs w:val="22"/>
        </w:rPr>
        <w:t xml:space="preserve"> 60.</w:t>
      </w:r>
      <w:r w:rsidR="008E2815">
        <w:rPr>
          <w:sz w:val="22"/>
          <w:szCs w:val="22"/>
        </w:rPr>
        <w:t>8(b)(2) &amp; (3); 60.11(e)(7) &amp; (8); 60.13(g), (i), &amp; (j)(2); and 60.16.</w:t>
      </w:r>
      <w:r w:rsidR="0072065B">
        <w:rPr>
          <w:sz w:val="22"/>
          <w:szCs w:val="22"/>
        </w:rPr>
        <w:br w:type="page"/>
      </w:r>
    </w:p>
    <w:tbl>
      <w:tblPr>
        <w:tblStyle w:val="TableGrid"/>
        <w:tblW w:w="0" w:type="auto"/>
        <w:tblInd w:w="360" w:type="dxa"/>
        <w:tblLook w:val="04A0" w:firstRow="1" w:lastRow="0" w:firstColumn="1" w:lastColumn="0" w:noHBand="0" w:noVBand="1"/>
      </w:tblPr>
      <w:tblGrid>
        <w:gridCol w:w="4834"/>
        <w:gridCol w:w="4856"/>
      </w:tblGrid>
      <w:tr w:rsidR="001C405C" w:rsidTr="0072065B">
        <w:tc>
          <w:tcPr>
            <w:tcW w:w="4834" w:type="dxa"/>
            <w:tcBorders>
              <w:top w:val="single" w:sz="12" w:space="0" w:color="auto"/>
              <w:left w:val="single" w:sz="12" w:space="0" w:color="auto"/>
              <w:bottom w:val="single" w:sz="12" w:space="0" w:color="auto"/>
            </w:tcBorders>
            <w:shd w:val="clear" w:color="auto" w:fill="BDD6EE" w:themeFill="accent1" w:themeFillTint="66"/>
            <w:vAlign w:val="center"/>
          </w:tcPr>
          <w:p w:rsidR="00E933A6" w:rsidRPr="001C405C" w:rsidRDefault="00E933A6" w:rsidP="00D23245">
            <w:pPr>
              <w:pStyle w:val="ListParagraph"/>
              <w:ind w:left="0"/>
              <w:contextualSpacing w:val="0"/>
              <w:jc w:val="center"/>
              <w:rPr>
                <w:b/>
                <w:sz w:val="22"/>
                <w:szCs w:val="22"/>
              </w:rPr>
            </w:pPr>
            <w:r w:rsidRPr="001C405C">
              <w:rPr>
                <w:b/>
                <w:sz w:val="22"/>
                <w:szCs w:val="22"/>
              </w:rPr>
              <w:t>General Provisions Citation</w:t>
            </w:r>
          </w:p>
        </w:tc>
        <w:tc>
          <w:tcPr>
            <w:tcW w:w="4856" w:type="dxa"/>
            <w:tcBorders>
              <w:top w:val="single" w:sz="12" w:space="0" w:color="auto"/>
              <w:bottom w:val="single" w:sz="12" w:space="0" w:color="auto"/>
              <w:right w:val="single" w:sz="12" w:space="0" w:color="auto"/>
            </w:tcBorders>
            <w:shd w:val="clear" w:color="auto" w:fill="BDD6EE" w:themeFill="accent1" w:themeFillTint="66"/>
          </w:tcPr>
          <w:p w:rsidR="00E933A6" w:rsidRPr="001C405C" w:rsidRDefault="00E933A6" w:rsidP="00E933A6">
            <w:pPr>
              <w:pStyle w:val="ListParagraph"/>
              <w:ind w:left="0"/>
              <w:contextualSpacing w:val="0"/>
              <w:rPr>
                <w:b/>
                <w:sz w:val="22"/>
                <w:szCs w:val="22"/>
              </w:rPr>
            </w:pPr>
            <w:r w:rsidRPr="001C405C">
              <w:rPr>
                <w:b/>
                <w:sz w:val="22"/>
                <w:szCs w:val="22"/>
              </w:rPr>
              <w:t>Subject of Citation</w:t>
            </w:r>
          </w:p>
        </w:tc>
      </w:tr>
      <w:tr w:rsidR="00E933A6" w:rsidTr="0072065B">
        <w:tc>
          <w:tcPr>
            <w:tcW w:w="4834" w:type="dxa"/>
            <w:tcBorders>
              <w:top w:val="single" w:sz="12" w:space="0" w:color="auto"/>
              <w:left w:val="single" w:sz="12" w:space="0" w:color="auto"/>
            </w:tcBorders>
            <w:vAlign w:val="center"/>
          </w:tcPr>
          <w:p w:rsidR="00E933A6" w:rsidRDefault="00E933A6" w:rsidP="00D23245">
            <w:pPr>
              <w:pStyle w:val="ListParagraph"/>
              <w:ind w:left="0"/>
              <w:contextualSpacing w:val="0"/>
              <w:jc w:val="center"/>
              <w:rPr>
                <w:sz w:val="22"/>
                <w:szCs w:val="22"/>
              </w:rPr>
            </w:pPr>
            <w:r>
              <w:rPr>
                <w:sz w:val="22"/>
                <w:szCs w:val="22"/>
              </w:rPr>
              <w:t>§60.1</w:t>
            </w:r>
          </w:p>
        </w:tc>
        <w:tc>
          <w:tcPr>
            <w:tcW w:w="4856" w:type="dxa"/>
            <w:tcBorders>
              <w:top w:val="single" w:sz="12" w:space="0" w:color="auto"/>
              <w:right w:val="single" w:sz="12" w:space="0" w:color="auto"/>
            </w:tcBorders>
            <w:vAlign w:val="center"/>
          </w:tcPr>
          <w:p w:rsidR="00E933A6" w:rsidRDefault="000C0FDC" w:rsidP="00D23245">
            <w:pPr>
              <w:pStyle w:val="ListParagraph"/>
              <w:ind w:left="0"/>
              <w:contextualSpacing w:val="0"/>
              <w:rPr>
                <w:sz w:val="22"/>
                <w:szCs w:val="22"/>
              </w:rPr>
            </w:pPr>
            <w:r>
              <w:rPr>
                <w:sz w:val="22"/>
                <w:szCs w:val="22"/>
              </w:rPr>
              <w:t>General applicability of the General Provisions.</w:t>
            </w:r>
          </w:p>
        </w:tc>
      </w:tr>
      <w:tr w:rsidR="00E933A6" w:rsidTr="0072065B">
        <w:tc>
          <w:tcPr>
            <w:tcW w:w="4834" w:type="dxa"/>
            <w:tcBorders>
              <w:left w:val="single" w:sz="12" w:space="0" w:color="auto"/>
            </w:tcBorders>
            <w:vAlign w:val="center"/>
          </w:tcPr>
          <w:p w:rsidR="00E933A6" w:rsidRDefault="00E933A6" w:rsidP="00D23245">
            <w:pPr>
              <w:pStyle w:val="ListParagraph"/>
              <w:ind w:left="0"/>
              <w:contextualSpacing w:val="0"/>
              <w:jc w:val="center"/>
              <w:rPr>
                <w:sz w:val="22"/>
                <w:szCs w:val="22"/>
              </w:rPr>
            </w:pPr>
            <w:r>
              <w:rPr>
                <w:sz w:val="22"/>
                <w:szCs w:val="22"/>
              </w:rPr>
              <w:t>§60.2</w:t>
            </w:r>
          </w:p>
        </w:tc>
        <w:tc>
          <w:tcPr>
            <w:tcW w:w="4856" w:type="dxa"/>
            <w:tcBorders>
              <w:right w:val="single" w:sz="12" w:space="0" w:color="auto"/>
            </w:tcBorders>
            <w:vAlign w:val="center"/>
          </w:tcPr>
          <w:p w:rsidR="00E933A6" w:rsidRDefault="000C0FDC" w:rsidP="00D23245">
            <w:pPr>
              <w:pStyle w:val="ListParagraph"/>
              <w:ind w:left="0"/>
              <w:contextualSpacing w:val="0"/>
              <w:rPr>
                <w:sz w:val="22"/>
                <w:szCs w:val="22"/>
              </w:rPr>
            </w:pPr>
            <w:r>
              <w:rPr>
                <w:sz w:val="22"/>
                <w:szCs w:val="22"/>
              </w:rPr>
              <w:t>Definitions.</w:t>
            </w:r>
          </w:p>
        </w:tc>
      </w:tr>
      <w:tr w:rsidR="00E933A6" w:rsidTr="0072065B">
        <w:tc>
          <w:tcPr>
            <w:tcW w:w="4834" w:type="dxa"/>
            <w:tcBorders>
              <w:left w:val="single" w:sz="12" w:space="0" w:color="auto"/>
            </w:tcBorders>
            <w:vAlign w:val="center"/>
          </w:tcPr>
          <w:p w:rsidR="00E933A6" w:rsidRDefault="00E933A6" w:rsidP="00D23245">
            <w:pPr>
              <w:pStyle w:val="ListParagraph"/>
              <w:ind w:left="0"/>
              <w:contextualSpacing w:val="0"/>
              <w:jc w:val="center"/>
              <w:rPr>
                <w:sz w:val="22"/>
                <w:szCs w:val="22"/>
              </w:rPr>
            </w:pPr>
            <w:r>
              <w:rPr>
                <w:sz w:val="22"/>
                <w:szCs w:val="22"/>
              </w:rPr>
              <w:t>§60.3</w:t>
            </w:r>
          </w:p>
        </w:tc>
        <w:tc>
          <w:tcPr>
            <w:tcW w:w="4856" w:type="dxa"/>
            <w:tcBorders>
              <w:right w:val="single" w:sz="12" w:space="0" w:color="auto"/>
            </w:tcBorders>
            <w:vAlign w:val="center"/>
          </w:tcPr>
          <w:p w:rsidR="00E933A6" w:rsidRDefault="000C0FDC" w:rsidP="00D23245">
            <w:pPr>
              <w:pStyle w:val="ListParagraph"/>
              <w:ind w:left="0"/>
              <w:contextualSpacing w:val="0"/>
              <w:rPr>
                <w:sz w:val="22"/>
                <w:szCs w:val="22"/>
              </w:rPr>
            </w:pPr>
            <w:r>
              <w:rPr>
                <w:sz w:val="22"/>
                <w:szCs w:val="22"/>
              </w:rPr>
              <w:t>Units and abbreviations.</w:t>
            </w:r>
          </w:p>
        </w:tc>
      </w:tr>
      <w:tr w:rsidR="00E933A6" w:rsidTr="0072065B">
        <w:tc>
          <w:tcPr>
            <w:tcW w:w="4834" w:type="dxa"/>
            <w:tcBorders>
              <w:left w:val="single" w:sz="12" w:space="0" w:color="auto"/>
            </w:tcBorders>
            <w:vAlign w:val="center"/>
          </w:tcPr>
          <w:p w:rsidR="00E933A6" w:rsidRDefault="00E933A6" w:rsidP="00D23245">
            <w:pPr>
              <w:pStyle w:val="ListParagraph"/>
              <w:ind w:left="0"/>
              <w:contextualSpacing w:val="0"/>
              <w:jc w:val="center"/>
              <w:rPr>
                <w:sz w:val="22"/>
                <w:szCs w:val="22"/>
              </w:rPr>
            </w:pPr>
            <w:r>
              <w:rPr>
                <w:sz w:val="22"/>
                <w:szCs w:val="22"/>
              </w:rPr>
              <w:t>§60.4</w:t>
            </w:r>
          </w:p>
        </w:tc>
        <w:tc>
          <w:tcPr>
            <w:tcW w:w="4856" w:type="dxa"/>
            <w:tcBorders>
              <w:right w:val="single" w:sz="12" w:space="0" w:color="auto"/>
            </w:tcBorders>
            <w:vAlign w:val="center"/>
          </w:tcPr>
          <w:p w:rsidR="00E933A6" w:rsidRDefault="000C0FDC" w:rsidP="00D23245">
            <w:pPr>
              <w:pStyle w:val="ListParagraph"/>
              <w:ind w:left="0"/>
              <w:contextualSpacing w:val="0"/>
              <w:rPr>
                <w:sz w:val="22"/>
                <w:szCs w:val="22"/>
              </w:rPr>
            </w:pPr>
            <w:r>
              <w:rPr>
                <w:sz w:val="22"/>
                <w:szCs w:val="22"/>
              </w:rPr>
              <w:t>Address.</w:t>
            </w:r>
          </w:p>
        </w:tc>
      </w:tr>
      <w:tr w:rsidR="00E933A6" w:rsidTr="0072065B">
        <w:tc>
          <w:tcPr>
            <w:tcW w:w="4834" w:type="dxa"/>
            <w:tcBorders>
              <w:left w:val="single" w:sz="12" w:space="0" w:color="auto"/>
            </w:tcBorders>
            <w:vAlign w:val="center"/>
          </w:tcPr>
          <w:p w:rsidR="00E933A6" w:rsidRDefault="00E933A6" w:rsidP="00D23245">
            <w:pPr>
              <w:pStyle w:val="ListParagraph"/>
              <w:ind w:left="0"/>
              <w:contextualSpacing w:val="0"/>
              <w:jc w:val="center"/>
              <w:rPr>
                <w:sz w:val="22"/>
                <w:szCs w:val="22"/>
              </w:rPr>
            </w:pPr>
            <w:r>
              <w:rPr>
                <w:sz w:val="22"/>
                <w:szCs w:val="22"/>
              </w:rPr>
              <w:t>§60.5</w:t>
            </w:r>
          </w:p>
        </w:tc>
        <w:tc>
          <w:tcPr>
            <w:tcW w:w="4856" w:type="dxa"/>
            <w:tcBorders>
              <w:right w:val="single" w:sz="12" w:space="0" w:color="auto"/>
            </w:tcBorders>
            <w:vAlign w:val="center"/>
          </w:tcPr>
          <w:p w:rsidR="00E933A6" w:rsidRDefault="000C0FDC" w:rsidP="00D23245">
            <w:pPr>
              <w:pStyle w:val="ListParagraph"/>
              <w:ind w:left="0"/>
              <w:contextualSpacing w:val="0"/>
              <w:rPr>
                <w:sz w:val="22"/>
                <w:szCs w:val="22"/>
              </w:rPr>
            </w:pPr>
            <w:r>
              <w:rPr>
                <w:sz w:val="22"/>
                <w:szCs w:val="22"/>
              </w:rPr>
              <w:t>Determination of construction or modification.</w:t>
            </w:r>
          </w:p>
        </w:tc>
      </w:tr>
      <w:tr w:rsidR="00E933A6" w:rsidTr="0072065B">
        <w:tc>
          <w:tcPr>
            <w:tcW w:w="4834" w:type="dxa"/>
            <w:tcBorders>
              <w:left w:val="single" w:sz="12" w:space="0" w:color="auto"/>
            </w:tcBorders>
            <w:vAlign w:val="center"/>
          </w:tcPr>
          <w:p w:rsidR="00E933A6" w:rsidRDefault="00E933A6" w:rsidP="00D23245">
            <w:pPr>
              <w:pStyle w:val="ListParagraph"/>
              <w:ind w:left="0"/>
              <w:contextualSpacing w:val="0"/>
              <w:jc w:val="center"/>
              <w:rPr>
                <w:sz w:val="22"/>
                <w:szCs w:val="22"/>
              </w:rPr>
            </w:pPr>
            <w:r>
              <w:rPr>
                <w:sz w:val="22"/>
                <w:szCs w:val="22"/>
              </w:rPr>
              <w:t>§60.6</w:t>
            </w:r>
          </w:p>
        </w:tc>
        <w:tc>
          <w:tcPr>
            <w:tcW w:w="4856" w:type="dxa"/>
            <w:tcBorders>
              <w:right w:val="single" w:sz="12" w:space="0" w:color="auto"/>
            </w:tcBorders>
            <w:vAlign w:val="center"/>
          </w:tcPr>
          <w:p w:rsidR="00E933A6" w:rsidRDefault="000C0FDC" w:rsidP="00D23245">
            <w:pPr>
              <w:pStyle w:val="ListParagraph"/>
              <w:ind w:left="0"/>
              <w:contextualSpacing w:val="0"/>
              <w:rPr>
                <w:sz w:val="22"/>
                <w:szCs w:val="22"/>
              </w:rPr>
            </w:pPr>
            <w:r>
              <w:rPr>
                <w:sz w:val="22"/>
                <w:szCs w:val="22"/>
              </w:rPr>
              <w:t>Review of plans.</w:t>
            </w:r>
          </w:p>
        </w:tc>
      </w:tr>
      <w:tr w:rsidR="00E933A6" w:rsidTr="0072065B">
        <w:tc>
          <w:tcPr>
            <w:tcW w:w="4834" w:type="dxa"/>
            <w:tcBorders>
              <w:left w:val="single" w:sz="12" w:space="0" w:color="auto"/>
            </w:tcBorders>
            <w:vAlign w:val="center"/>
          </w:tcPr>
          <w:p w:rsidR="00E933A6" w:rsidRDefault="00E933A6" w:rsidP="00D23245">
            <w:pPr>
              <w:pStyle w:val="ListParagraph"/>
              <w:ind w:left="0"/>
              <w:contextualSpacing w:val="0"/>
              <w:jc w:val="center"/>
              <w:rPr>
                <w:sz w:val="22"/>
                <w:szCs w:val="22"/>
              </w:rPr>
            </w:pPr>
            <w:r>
              <w:rPr>
                <w:sz w:val="22"/>
                <w:szCs w:val="22"/>
              </w:rPr>
              <w:t>§60.7</w:t>
            </w:r>
          </w:p>
        </w:tc>
        <w:tc>
          <w:tcPr>
            <w:tcW w:w="4856" w:type="dxa"/>
            <w:tcBorders>
              <w:right w:val="single" w:sz="12" w:space="0" w:color="auto"/>
            </w:tcBorders>
            <w:vAlign w:val="center"/>
          </w:tcPr>
          <w:p w:rsidR="00E933A6" w:rsidRDefault="000C0FDC" w:rsidP="00D23245">
            <w:pPr>
              <w:pStyle w:val="ListParagraph"/>
              <w:ind w:left="0"/>
              <w:contextualSpacing w:val="0"/>
              <w:rPr>
                <w:sz w:val="22"/>
                <w:szCs w:val="22"/>
              </w:rPr>
            </w:pPr>
            <w:r>
              <w:rPr>
                <w:sz w:val="22"/>
                <w:szCs w:val="22"/>
              </w:rPr>
              <w:t>Notification and Recordkeeping.</w:t>
            </w:r>
          </w:p>
        </w:tc>
      </w:tr>
      <w:tr w:rsidR="00E933A6" w:rsidTr="0072065B">
        <w:tc>
          <w:tcPr>
            <w:tcW w:w="4834" w:type="dxa"/>
            <w:tcBorders>
              <w:left w:val="single" w:sz="12" w:space="0" w:color="auto"/>
            </w:tcBorders>
            <w:vAlign w:val="center"/>
          </w:tcPr>
          <w:p w:rsidR="00E933A6" w:rsidRDefault="00E933A6" w:rsidP="00D23245">
            <w:pPr>
              <w:pStyle w:val="ListParagraph"/>
              <w:ind w:left="0"/>
              <w:contextualSpacing w:val="0"/>
              <w:jc w:val="center"/>
              <w:rPr>
                <w:sz w:val="22"/>
                <w:szCs w:val="22"/>
              </w:rPr>
            </w:pPr>
            <w:r>
              <w:rPr>
                <w:sz w:val="22"/>
                <w:szCs w:val="22"/>
              </w:rPr>
              <w:t>§60.8</w:t>
            </w:r>
          </w:p>
        </w:tc>
        <w:tc>
          <w:tcPr>
            <w:tcW w:w="4856" w:type="dxa"/>
            <w:tcBorders>
              <w:right w:val="single" w:sz="12" w:space="0" w:color="auto"/>
            </w:tcBorders>
            <w:vAlign w:val="center"/>
          </w:tcPr>
          <w:p w:rsidR="00E933A6" w:rsidRDefault="000C0FDC" w:rsidP="00D23245">
            <w:pPr>
              <w:pStyle w:val="ListParagraph"/>
              <w:ind w:left="0"/>
              <w:contextualSpacing w:val="0"/>
              <w:rPr>
                <w:sz w:val="22"/>
                <w:szCs w:val="22"/>
              </w:rPr>
            </w:pPr>
            <w:r>
              <w:rPr>
                <w:sz w:val="22"/>
                <w:szCs w:val="22"/>
              </w:rPr>
              <w:t>Performance tests.</w:t>
            </w:r>
          </w:p>
        </w:tc>
      </w:tr>
      <w:tr w:rsidR="00E933A6" w:rsidTr="0072065B">
        <w:tc>
          <w:tcPr>
            <w:tcW w:w="4834" w:type="dxa"/>
            <w:tcBorders>
              <w:left w:val="single" w:sz="12" w:space="0" w:color="auto"/>
            </w:tcBorders>
            <w:vAlign w:val="center"/>
          </w:tcPr>
          <w:p w:rsidR="00E933A6" w:rsidRDefault="00E933A6" w:rsidP="00D23245">
            <w:pPr>
              <w:pStyle w:val="ListParagraph"/>
              <w:ind w:left="0"/>
              <w:contextualSpacing w:val="0"/>
              <w:jc w:val="center"/>
              <w:rPr>
                <w:sz w:val="22"/>
                <w:szCs w:val="22"/>
              </w:rPr>
            </w:pPr>
            <w:r>
              <w:rPr>
                <w:sz w:val="22"/>
                <w:szCs w:val="22"/>
              </w:rPr>
              <w:t>§60.9</w:t>
            </w:r>
          </w:p>
        </w:tc>
        <w:tc>
          <w:tcPr>
            <w:tcW w:w="4856" w:type="dxa"/>
            <w:tcBorders>
              <w:right w:val="single" w:sz="12" w:space="0" w:color="auto"/>
            </w:tcBorders>
            <w:vAlign w:val="center"/>
          </w:tcPr>
          <w:p w:rsidR="00E933A6" w:rsidRDefault="000C0FDC" w:rsidP="00D23245">
            <w:pPr>
              <w:pStyle w:val="ListParagraph"/>
              <w:ind w:left="0"/>
              <w:contextualSpacing w:val="0"/>
              <w:rPr>
                <w:sz w:val="22"/>
                <w:szCs w:val="22"/>
              </w:rPr>
            </w:pPr>
            <w:r>
              <w:rPr>
                <w:sz w:val="22"/>
                <w:szCs w:val="22"/>
              </w:rPr>
              <w:t>Availability of information.</w:t>
            </w:r>
          </w:p>
        </w:tc>
      </w:tr>
      <w:tr w:rsidR="00E933A6" w:rsidTr="0072065B">
        <w:tc>
          <w:tcPr>
            <w:tcW w:w="4834" w:type="dxa"/>
            <w:tcBorders>
              <w:left w:val="single" w:sz="12" w:space="0" w:color="auto"/>
            </w:tcBorders>
            <w:vAlign w:val="center"/>
          </w:tcPr>
          <w:p w:rsidR="00E933A6" w:rsidRDefault="00E933A6" w:rsidP="00D23245">
            <w:pPr>
              <w:pStyle w:val="ListParagraph"/>
              <w:ind w:left="0"/>
              <w:contextualSpacing w:val="0"/>
              <w:jc w:val="center"/>
              <w:rPr>
                <w:sz w:val="22"/>
                <w:szCs w:val="22"/>
              </w:rPr>
            </w:pPr>
            <w:r>
              <w:rPr>
                <w:sz w:val="22"/>
                <w:szCs w:val="22"/>
              </w:rPr>
              <w:t>§60.10</w:t>
            </w:r>
          </w:p>
        </w:tc>
        <w:tc>
          <w:tcPr>
            <w:tcW w:w="4856" w:type="dxa"/>
            <w:tcBorders>
              <w:right w:val="single" w:sz="12" w:space="0" w:color="auto"/>
            </w:tcBorders>
            <w:vAlign w:val="center"/>
          </w:tcPr>
          <w:p w:rsidR="00E933A6" w:rsidRDefault="000C0FDC" w:rsidP="00D23245">
            <w:pPr>
              <w:pStyle w:val="ListParagraph"/>
              <w:ind w:left="0"/>
              <w:contextualSpacing w:val="0"/>
              <w:rPr>
                <w:sz w:val="22"/>
                <w:szCs w:val="22"/>
              </w:rPr>
            </w:pPr>
            <w:r>
              <w:rPr>
                <w:sz w:val="22"/>
                <w:szCs w:val="22"/>
              </w:rPr>
              <w:t>State Authority.</w:t>
            </w:r>
          </w:p>
        </w:tc>
      </w:tr>
      <w:tr w:rsidR="00E933A6" w:rsidTr="0072065B">
        <w:tc>
          <w:tcPr>
            <w:tcW w:w="4834" w:type="dxa"/>
            <w:tcBorders>
              <w:left w:val="single" w:sz="12" w:space="0" w:color="auto"/>
            </w:tcBorders>
            <w:vAlign w:val="center"/>
          </w:tcPr>
          <w:p w:rsidR="00E933A6" w:rsidRDefault="00E933A6" w:rsidP="00D23245">
            <w:pPr>
              <w:pStyle w:val="ListParagraph"/>
              <w:ind w:left="0"/>
              <w:contextualSpacing w:val="0"/>
              <w:jc w:val="center"/>
              <w:rPr>
                <w:sz w:val="22"/>
                <w:szCs w:val="22"/>
              </w:rPr>
            </w:pPr>
            <w:r>
              <w:rPr>
                <w:sz w:val="22"/>
                <w:szCs w:val="22"/>
              </w:rPr>
              <w:t>§60.11</w:t>
            </w:r>
          </w:p>
        </w:tc>
        <w:tc>
          <w:tcPr>
            <w:tcW w:w="4856" w:type="dxa"/>
            <w:tcBorders>
              <w:right w:val="single" w:sz="12" w:space="0" w:color="auto"/>
            </w:tcBorders>
            <w:vAlign w:val="center"/>
          </w:tcPr>
          <w:p w:rsidR="00E933A6" w:rsidRDefault="000C0FDC" w:rsidP="00D23245">
            <w:pPr>
              <w:pStyle w:val="ListParagraph"/>
              <w:ind w:left="0"/>
              <w:contextualSpacing w:val="0"/>
              <w:rPr>
                <w:sz w:val="22"/>
                <w:szCs w:val="22"/>
              </w:rPr>
            </w:pPr>
            <w:r>
              <w:rPr>
                <w:sz w:val="22"/>
                <w:szCs w:val="22"/>
              </w:rPr>
              <w:t>Compliance with standards and maintenance requirements.</w:t>
            </w:r>
          </w:p>
        </w:tc>
      </w:tr>
      <w:tr w:rsidR="00E933A6" w:rsidTr="0072065B">
        <w:tc>
          <w:tcPr>
            <w:tcW w:w="4834" w:type="dxa"/>
            <w:tcBorders>
              <w:left w:val="single" w:sz="12" w:space="0" w:color="auto"/>
            </w:tcBorders>
            <w:vAlign w:val="center"/>
          </w:tcPr>
          <w:p w:rsidR="00E933A6" w:rsidRDefault="00E933A6" w:rsidP="00D23245">
            <w:pPr>
              <w:pStyle w:val="ListParagraph"/>
              <w:ind w:left="0"/>
              <w:contextualSpacing w:val="0"/>
              <w:jc w:val="center"/>
              <w:rPr>
                <w:sz w:val="22"/>
                <w:szCs w:val="22"/>
              </w:rPr>
            </w:pPr>
            <w:r>
              <w:rPr>
                <w:sz w:val="22"/>
                <w:szCs w:val="22"/>
              </w:rPr>
              <w:t>§60.12</w:t>
            </w:r>
          </w:p>
        </w:tc>
        <w:tc>
          <w:tcPr>
            <w:tcW w:w="4856" w:type="dxa"/>
            <w:tcBorders>
              <w:right w:val="single" w:sz="12" w:space="0" w:color="auto"/>
            </w:tcBorders>
            <w:vAlign w:val="center"/>
          </w:tcPr>
          <w:p w:rsidR="00E933A6" w:rsidRDefault="000C0FDC" w:rsidP="00D23245">
            <w:pPr>
              <w:pStyle w:val="ListParagraph"/>
              <w:ind w:left="0"/>
              <w:contextualSpacing w:val="0"/>
              <w:rPr>
                <w:sz w:val="22"/>
                <w:szCs w:val="22"/>
              </w:rPr>
            </w:pPr>
            <w:r>
              <w:rPr>
                <w:sz w:val="22"/>
                <w:szCs w:val="22"/>
              </w:rPr>
              <w:t>Circumvention.</w:t>
            </w:r>
          </w:p>
        </w:tc>
      </w:tr>
      <w:tr w:rsidR="00E933A6" w:rsidTr="0072065B">
        <w:tc>
          <w:tcPr>
            <w:tcW w:w="4834" w:type="dxa"/>
            <w:tcBorders>
              <w:left w:val="single" w:sz="12" w:space="0" w:color="auto"/>
            </w:tcBorders>
            <w:vAlign w:val="center"/>
          </w:tcPr>
          <w:p w:rsidR="00E933A6" w:rsidRDefault="00E933A6" w:rsidP="00D23245">
            <w:pPr>
              <w:pStyle w:val="ListParagraph"/>
              <w:ind w:left="0"/>
              <w:contextualSpacing w:val="0"/>
              <w:jc w:val="center"/>
              <w:rPr>
                <w:sz w:val="22"/>
                <w:szCs w:val="22"/>
              </w:rPr>
            </w:pPr>
            <w:r>
              <w:rPr>
                <w:sz w:val="22"/>
                <w:szCs w:val="22"/>
              </w:rPr>
              <w:t>§60.14</w:t>
            </w:r>
          </w:p>
        </w:tc>
        <w:tc>
          <w:tcPr>
            <w:tcW w:w="4856" w:type="dxa"/>
            <w:tcBorders>
              <w:right w:val="single" w:sz="12" w:space="0" w:color="auto"/>
            </w:tcBorders>
            <w:vAlign w:val="center"/>
          </w:tcPr>
          <w:p w:rsidR="00E933A6" w:rsidRDefault="000C0FDC" w:rsidP="00D23245">
            <w:pPr>
              <w:pStyle w:val="ListParagraph"/>
              <w:ind w:left="0"/>
              <w:contextualSpacing w:val="0"/>
              <w:rPr>
                <w:sz w:val="22"/>
                <w:szCs w:val="22"/>
              </w:rPr>
            </w:pPr>
            <w:r>
              <w:rPr>
                <w:sz w:val="22"/>
                <w:szCs w:val="22"/>
              </w:rPr>
              <w:t>Modification.</w:t>
            </w:r>
          </w:p>
        </w:tc>
      </w:tr>
      <w:tr w:rsidR="00E933A6" w:rsidTr="0072065B">
        <w:tc>
          <w:tcPr>
            <w:tcW w:w="4834" w:type="dxa"/>
            <w:tcBorders>
              <w:left w:val="single" w:sz="12" w:space="0" w:color="auto"/>
            </w:tcBorders>
            <w:vAlign w:val="center"/>
          </w:tcPr>
          <w:p w:rsidR="00E933A6" w:rsidRDefault="00E933A6" w:rsidP="00D23245">
            <w:pPr>
              <w:pStyle w:val="ListParagraph"/>
              <w:ind w:left="0"/>
              <w:contextualSpacing w:val="0"/>
              <w:jc w:val="center"/>
              <w:rPr>
                <w:sz w:val="22"/>
                <w:szCs w:val="22"/>
              </w:rPr>
            </w:pPr>
            <w:r>
              <w:rPr>
                <w:sz w:val="22"/>
                <w:szCs w:val="22"/>
              </w:rPr>
              <w:t>§60.15</w:t>
            </w:r>
          </w:p>
        </w:tc>
        <w:tc>
          <w:tcPr>
            <w:tcW w:w="4856" w:type="dxa"/>
            <w:tcBorders>
              <w:right w:val="single" w:sz="12" w:space="0" w:color="auto"/>
            </w:tcBorders>
            <w:vAlign w:val="center"/>
          </w:tcPr>
          <w:p w:rsidR="00E933A6" w:rsidRDefault="000C0FDC" w:rsidP="00D23245">
            <w:pPr>
              <w:pStyle w:val="ListParagraph"/>
              <w:ind w:left="0"/>
              <w:contextualSpacing w:val="0"/>
              <w:rPr>
                <w:sz w:val="22"/>
                <w:szCs w:val="22"/>
              </w:rPr>
            </w:pPr>
            <w:r>
              <w:rPr>
                <w:sz w:val="22"/>
                <w:szCs w:val="22"/>
              </w:rPr>
              <w:t>Reconstruction.</w:t>
            </w:r>
          </w:p>
        </w:tc>
      </w:tr>
      <w:tr w:rsidR="00E933A6" w:rsidTr="0072065B">
        <w:tc>
          <w:tcPr>
            <w:tcW w:w="4834" w:type="dxa"/>
            <w:tcBorders>
              <w:left w:val="single" w:sz="12" w:space="0" w:color="auto"/>
            </w:tcBorders>
            <w:vAlign w:val="center"/>
          </w:tcPr>
          <w:p w:rsidR="00E933A6" w:rsidRDefault="00E933A6" w:rsidP="00D23245">
            <w:pPr>
              <w:pStyle w:val="ListParagraph"/>
              <w:ind w:left="0"/>
              <w:contextualSpacing w:val="0"/>
              <w:jc w:val="center"/>
              <w:rPr>
                <w:sz w:val="22"/>
                <w:szCs w:val="22"/>
              </w:rPr>
            </w:pPr>
            <w:r>
              <w:rPr>
                <w:sz w:val="22"/>
                <w:szCs w:val="22"/>
              </w:rPr>
              <w:t>§60.16</w:t>
            </w:r>
          </w:p>
        </w:tc>
        <w:tc>
          <w:tcPr>
            <w:tcW w:w="4856" w:type="dxa"/>
            <w:tcBorders>
              <w:right w:val="single" w:sz="12" w:space="0" w:color="auto"/>
            </w:tcBorders>
            <w:vAlign w:val="center"/>
          </w:tcPr>
          <w:p w:rsidR="00E933A6" w:rsidRDefault="000C0FDC" w:rsidP="00D23245">
            <w:pPr>
              <w:pStyle w:val="ListParagraph"/>
              <w:ind w:left="0"/>
              <w:contextualSpacing w:val="0"/>
              <w:rPr>
                <w:sz w:val="22"/>
                <w:szCs w:val="22"/>
              </w:rPr>
            </w:pPr>
            <w:r>
              <w:rPr>
                <w:sz w:val="22"/>
                <w:szCs w:val="22"/>
              </w:rPr>
              <w:t>Priority list.</w:t>
            </w:r>
          </w:p>
        </w:tc>
      </w:tr>
      <w:tr w:rsidR="00E933A6" w:rsidTr="0072065B">
        <w:tc>
          <w:tcPr>
            <w:tcW w:w="4834" w:type="dxa"/>
            <w:tcBorders>
              <w:left w:val="single" w:sz="12" w:space="0" w:color="auto"/>
            </w:tcBorders>
            <w:vAlign w:val="center"/>
          </w:tcPr>
          <w:p w:rsidR="00E933A6" w:rsidRDefault="00E933A6" w:rsidP="00D23245">
            <w:pPr>
              <w:pStyle w:val="ListParagraph"/>
              <w:ind w:left="0"/>
              <w:contextualSpacing w:val="0"/>
              <w:jc w:val="center"/>
              <w:rPr>
                <w:sz w:val="22"/>
                <w:szCs w:val="22"/>
              </w:rPr>
            </w:pPr>
            <w:r>
              <w:rPr>
                <w:sz w:val="22"/>
                <w:szCs w:val="22"/>
              </w:rPr>
              <w:t>§60.17</w:t>
            </w:r>
          </w:p>
        </w:tc>
        <w:tc>
          <w:tcPr>
            <w:tcW w:w="4856" w:type="dxa"/>
            <w:tcBorders>
              <w:right w:val="single" w:sz="12" w:space="0" w:color="auto"/>
            </w:tcBorders>
            <w:vAlign w:val="center"/>
          </w:tcPr>
          <w:p w:rsidR="00E933A6" w:rsidRDefault="000C0FDC" w:rsidP="00D23245">
            <w:pPr>
              <w:pStyle w:val="ListParagraph"/>
              <w:ind w:left="0"/>
              <w:contextualSpacing w:val="0"/>
              <w:rPr>
                <w:sz w:val="22"/>
                <w:szCs w:val="22"/>
              </w:rPr>
            </w:pPr>
            <w:r>
              <w:rPr>
                <w:sz w:val="22"/>
                <w:szCs w:val="22"/>
              </w:rPr>
              <w:t>Incorporations by reference.</w:t>
            </w:r>
          </w:p>
        </w:tc>
      </w:tr>
      <w:tr w:rsidR="00E933A6" w:rsidTr="0072065B">
        <w:tc>
          <w:tcPr>
            <w:tcW w:w="4834" w:type="dxa"/>
            <w:tcBorders>
              <w:left w:val="single" w:sz="12" w:space="0" w:color="auto"/>
              <w:bottom w:val="single" w:sz="12" w:space="0" w:color="auto"/>
            </w:tcBorders>
            <w:vAlign w:val="center"/>
          </w:tcPr>
          <w:p w:rsidR="00E933A6" w:rsidRDefault="00E933A6" w:rsidP="00D23245">
            <w:pPr>
              <w:pStyle w:val="ListParagraph"/>
              <w:ind w:left="0"/>
              <w:contextualSpacing w:val="0"/>
              <w:jc w:val="center"/>
              <w:rPr>
                <w:sz w:val="22"/>
                <w:szCs w:val="22"/>
              </w:rPr>
            </w:pPr>
            <w:r>
              <w:rPr>
                <w:sz w:val="22"/>
                <w:szCs w:val="22"/>
              </w:rPr>
              <w:t>§60.19</w:t>
            </w:r>
          </w:p>
        </w:tc>
        <w:tc>
          <w:tcPr>
            <w:tcW w:w="4856" w:type="dxa"/>
            <w:tcBorders>
              <w:bottom w:val="single" w:sz="12" w:space="0" w:color="auto"/>
              <w:right w:val="single" w:sz="12" w:space="0" w:color="auto"/>
            </w:tcBorders>
            <w:vAlign w:val="center"/>
          </w:tcPr>
          <w:p w:rsidR="00E933A6" w:rsidRDefault="000C0FDC" w:rsidP="00D23245">
            <w:pPr>
              <w:pStyle w:val="ListParagraph"/>
              <w:ind w:left="0"/>
              <w:contextualSpacing w:val="0"/>
              <w:rPr>
                <w:sz w:val="22"/>
                <w:szCs w:val="22"/>
              </w:rPr>
            </w:pPr>
            <w:r>
              <w:rPr>
                <w:sz w:val="22"/>
                <w:szCs w:val="22"/>
              </w:rPr>
              <w:t>General notification and reporting requirements.</w:t>
            </w:r>
          </w:p>
        </w:tc>
      </w:tr>
    </w:tbl>
    <w:p w:rsidR="003070A7" w:rsidRPr="003070A7" w:rsidRDefault="004E386E" w:rsidP="003070A7">
      <w:pPr>
        <w:pStyle w:val="ListParagraph"/>
        <w:spacing w:after="120"/>
        <w:ind w:left="360"/>
        <w:contextualSpacing w:val="0"/>
        <w:rPr>
          <w:sz w:val="22"/>
          <w:szCs w:val="22"/>
        </w:rPr>
      </w:pPr>
      <w:r>
        <w:rPr>
          <w:sz w:val="22"/>
          <w:szCs w:val="22"/>
        </w:rPr>
        <w:t>[Rule 62-204.800, F.A.C.; and 40 CFR 60.4246]</w:t>
      </w:r>
    </w:p>
    <w:sectPr w:rsidR="003070A7" w:rsidRPr="003070A7" w:rsidSect="00E1325C">
      <w:headerReference w:type="default" r:id="rId35"/>
      <w:footerReference w:type="default" r:id="rId36"/>
      <w:pgSz w:w="12240" w:h="15840" w:code="1"/>
      <w:pgMar w:top="720" w:right="1080" w:bottom="720" w:left="1080" w:header="720"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669" w:rsidRDefault="00D12669">
      <w:r>
        <w:separator/>
      </w:r>
    </w:p>
  </w:endnote>
  <w:endnote w:type="continuationSeparator" w:id="0">
    <w:p w:rsidR="00D12669" w:rsidRDefault="00D12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dobe Fan Heiti Std B">
    <w:panose1 w:val="00000000000000000000"/>
    <w:charset w:val="80"/>
    <w:family w:val="swiss"/>
    <w:notTrueType/>
    <w:pitch w:val="variable"/>
    <w:sig w:usb0="00000203" w:usb1="1A0F1900" w:usb2="00000016" w:usb3="00000000" w:csb0="00120005"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Pr="006F284A" w:rsidRDefault="00D12669" w:rsidP="006F284A">
    <w:pPr>
      <w:pStyle w:val="Footer"/>
      <w:spacing w:before="360"/>
      <w:jc w:val="center"/>
    </w:pPr>
    <w:r w:rsidRPr="00097A5C">
      <w:rPr>
        <w:i/>
        <w:color w:val="00A88E"/>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Pr="00876517" w:rsidRDefault="00D12669" w:rsidP="001054EB">
    <w:pPr>
      <w:pBdr>
        <w:top w:val="single" w:sz="8" w:space="0" w:color="auto"/>
      </w:pBdr>
      <w:tabs>
        <w:tab w:val="right" w:pos="10080"/>
      </w:tabs>
      <w:spacing w:before="240"/>
      <w:rPr>
        <w:rStyle w:val="PageNumber"/>
      </w:rPr>
    </w:pPr>
    <w:r w:rsidRPr="00876517">
      <w:rPr>
        <w:rStyle w:val="PageNumber"/>
      </w:rPr>
      <w:t>Palm Beach County Water Utilities Department</w:t>
    </w:r>
    <w:r w:rsidRPr="00876517">
      <w:rPr>
        <w:rStyle w:val="PageNumber"/>
        <w:color w:val="FF0000"/>
      </w:rPr>
      <w:tab/>
    </w:r>
    <w:r w:rsidRPr="00876517">
      <w:rPr>
        <w:rStyle w:val="PageNumber"/>
      </w:rPr>
      <w:t>Permit No. 0990347-012-AF</w:t>
    </w:r>
  </w:p>
  <w:p w:rsidR="00D12669" w:rsidRPr="00876517" w:rsidRDefault="00D12669" w:rsidP="00E1325C">
    <w:pPr>
      <w:tabs>
        <w:tab w:val="right" w:pos="10080"/>
      </w:tabs>
      <w:spacing w:after="120"/>
      <w:rPr>
        <w:rStyle w:val="PageNumber"/>
      </w:rPr>
    </w:pPr>
    <w:r w:rsidRPr="00876517">
      <w:rPr>
        <w:rStyle w:val="PageNumber"/>
      </w:rPr>
      <w:t>Southern Region Water Reclamation Facility</w:t>
    </w:r>
    <w:r w:rsidRPr="00876517">
      <w:rPr>
        <w:rStyle w:val="PageNumber"/>
      </w:rPr>
      <w:tab/>
    </w:r>
    <w:r w:rsidRPr="00876517">
      <w:t>Federally Enforceable State Operation Permit Renewal</w:t>
    </w:r>
  </w:p>
  <w:p w:rsidR="00D12669" w:rsidRPr="00876517" w:rsidRDefault="00D12669" w:rsidP="00B87CB5">
    <w:pPr>
      <w:jc w:val="center"/>
    </w:pPr>
    <w:r w:rsidRPr="00876517">
      <w:t xml:space="preserve">Page </w:t>
    </w:r>
    <w:r w:rsidRPr="00876517">
      <w:rPr>
        <w:rStyle w:val="PageNumber"/>
      </w:rPr>
      <w:fldChar w:fldCharType="begin"/>
    </w:r>
    <w:r w:rsidRPr="00876517">
      <w:rPr>
        <w:rStyle w:val="PageNumber"/>
      </w:rPr>
      <w:instrText xml:space="preserve"> PAGE </w:instrText>
    </w:r>
    <w:r w:rsidRPr="00876517">
      <w:rPr>
        <w:rStyle w:val="PageNumber"/>
      </w:rPr>
      <w:fldChar w:fldCharType="separate"/>
    </w:r>
    <w:r w:rsidR="00876517">
      <w:rPr>
        <w:rStyle w:val="PageNumber"/>
        <w:noProof/>
      </w:rPr>
      <w:t>3</w:t>
    </w:r>
    <w:r w:rsidRPr="00876517">
      <w:rPr>
        <w:rStyle w:val="PageNumber"/>
      </w:rPr>
      <w:fldChar w:fldCharType="end"/>
    </w:r>
    <w:r w:rsidRPr="00876517">
      <w:rPr>
        <w:rStyle w:val="PageNumber"/>
      </w:rPr>
      <w:t xml:space="preserve"> of 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Pr="00876517" w:rsidRDefault="00D12669" w:rsidP="002F35CD">
    <w:pPr>
      <w:pBdr>
        <w:top w:val="single" w:sz="8" w:space="0" w:color="auto"/>
      </w:pBdr>
      <w:tabs>
        <w:tab w:val="right" w:pos="10080"/>
      </w:tabs>
      <w:spacing w:before="240"/>
      <w:rPr>
        <w:rStyle w:val="PageNumber"/>
      </w:rPr>
    </w:pPr>
    <w:r w:rsidRPr="00876517">
      <w:rPr>
        <w:rStyle w:val="PageNumber"/>
      </w:rPr>
      <w:t>Palm Beach County Water Utilities Department</w:t>
    </w:r>
    <w:r w:rsidRPr="00876517">
      <w:rPr>
        <w:rStyle w:val="PageNumber"/>
        <w:color w:val="FF0000"/>
      </w:rPr>
      <w:tab/>
    </w:r>
    <w:r w:rsidRPr="00876517">
      <w:rPr>
        <w:rStyle w:val="PageNumber"/>
      </w:rPr>
      <w:t>Permit No. 0990347-012-AF</w:t>
    </w:r>
  </w:p>
  <w:p w:rsidR="00D12669" w:rsidRPr="00876517" w:rsidRDefault="00D12669" w:rsidP="00E1325C">
    <w:pPr>
      <w:tabs>
        <w:tab w:val="right" w:pos="10080"/>
      </w:tabs>
      <w:spacing w:after="120"/>
      <w:rPr>
        <w:rStyle w:val="PageNumber"/>
      </w:rPr>
    </w:pPr>
    <w:r w:rsidRPr="00876517">
      <w:rPr>
        <w:rStyle w:val="PageNumber"/>
      </w:rPr>
      <w:t>Southern Region Water Reclamation Facility</w:t>
    </w:r>
    <w:r w:rsidRPr="00876517">
      <w:rPr>
        <w:rStyle w:val="PageNumber"/>
      </w:rPr>
      <w:tab/>
    </w:r>
    <w:r w:rsidRPr="00876517">
      <w:t>Federally Enforceable State Operation Permit Renewal</w:t>
    </w:r>
  </w:p>
  <w:p w:rsidR="00D12669" w:rsidRPr="00876517" w:rsidRDefault="00D12669" w:rsidP="00BC33B4">
    <w:pPr>
      <w:jc w:val="center"/>
      <w:rPr>
        <w:rStyle w:val="PageNumber"/>
      </w:rPr>
    </w:pPr>
    <w:r w:rsidRPr="00876517">
      <w:t xml:space="preserve">Page </w:t>
    </w:r>
    <w:r w:rsidRPr="00876517">
      <w:rPr>
        <w:rStyle w:val="PageNumber"/>
      </w:rPr>
      <w:fldChar w:fldCharType="begin"/>
    </w:r>
    <w:r w:rsidRPr="00876517">
      <w:rPr>
        <w:rStyle w:val="PageNumber"/>
      </w:rPr>
      <w:instrText xml:space="preserve"> PAGE </w:instrText>
    </w:r>
    <w:r w:rsidRPr="00876517">
      <w:rPr>
        <w:rStyle w:val="PageNumber"/>
      </w:rPr>
      <w:fldChar w:fldCharType="separate"/>
    </w:r>
    <w:r w:rsidR="00876517">
      <w:rPr>
        <w:rStyle w:val="PageNumber"/>
        <w:noProof/>
      </w:rPr>
      <w:t>5</w:t>
    </w:r>
    <w:r w:rsidRPr="00876517">
      <w:rPr>
        <w:rStyle w:val="PageNumber"/>
      </w:rPr>
      <w:fldChar w:fldCharType="end"/>
    </w:r>
    <w:r w:rsidRPr="00876517">
      <w:rPr>
        <w:rStyle w:val="PageNumber"/>
      </w:rPr>
      <w:t xml:space="preserve"> of 19</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Pr="00876517" w:rsidRDefault="00D12669" w:rsidP="002F35CD">
    <w:pPr>
      <w:pBdr>
        <w:top w:val="single" w:sz="8" w:space="0" w:color="auto"/>
      </w:pBdr>
      <w:tabs>
        <w:tab w:val="right" w:pos="10080"/>
      </w:tabs>
      <w:spacing w:before="240"/>
      <w:rPr>
        <w:rStyle w:val="PageNumber"/>
      </w:rPr>
    </w:pPr>
    <w:r w:rsidRPr="00876517">
      <w:rPr>
        <w:rStyle w:val="PageNumber"/>
      </w:rPr>
      <w:t>Palm Beach County Water Utilities Department</w:t>
    </w:r>
    <w:r w:rsidRPr="00876517">
      <w:rPr>
        <w:rStyle w:val="PageNumber"/>
        <w:color w:val="FF0000"/>
      </w:rPr>
      <w:tab/>
    </w:r>
    <w:r w:rsidRPr="00876517">
      <w:rPr>
        <w:rStyle w:val="PageNumber"/>
      </w:rPr>
      <w:t>Permit No. 0990347-012-AF</w:t>
    </w:r>
  </w:p>
  <w:p w:rsidR="00D12669" w:rsidRPr="00876517" w:rsidRDefault="00D12669" w:rsidP="00E1325C">
    <w:pPr>
      <w:tabs>
        <w:tab w:val="right" w:pos="10080"/>
      </w:tabs>
      <w:spacing w:after="120"/>
      <w:rPr>
        <w:rStyle w:val="PageNumber"/>
      </w:rPr>
    </w:pPr>
    <w:r w:rsidRPr="00876517">
      <w:rPr>
        <w:rStyle w:val="PageNumber"/>
      </w:rPr>
      <w:t>Southern Region Water Reclamation Facility</w:t>
    </w:r>
    <w:r w:rsidRPr="00876517">
      <w:rPr>
        <w:rStyle w:val="PageNumber"/>
      </w:rPr>
      <w:tab/>
    </w:r>
    <w:r w:rsidRPr="00876517">
      <w:t>Federally Enforceable State Operation Permit Renewal</w:t>
    </w:r>
  </w:p>
  <w:p w:rsidR="00D12669" w:rsidRPr="00876517" w:rsidRDefault="00D12669" w:rsidP="00BC33B4">
    <w:pPr>
      <w:jc w:val="center"/>
      <w:rPr>
        <w:rStyle w:val="PageNumber"/>
      </w:rPr>
    </w:pPr>
    <w:r w:rsidRPr="00876517">
      <w:t xml:space="preserve">Page </w:t>
    </w:r>
    <w:r w:rsidRPr="00876517">
      <w:rPr>
        <w:rStyle w:val="PageNumber"/>
      </w:rPr>
      <w:fldChar w:fldCharType="begin"/>
    </w:r>
    <w:r w:rsidRPr="00876517">
      <w:rPr>
        <w:rStyle w:val="PageNumber"/>
      </w:rPr>
      <w:instrText xml:space="preserve"> PAGE </w:instrText>
    </w:r>
    <w:r w:rsidRPr="00876517">
      <w:rPr>
        <w:rStyle w:val="PageNumber"/>
      </w:rPr>
      <w:fldChar w:fldCharType="separate"/>
    </w:r>
    <w:r w:rsidR="00876517">
      <w:rPr>
        <w:rStyle w:val="PageNumber"/>
        <w:noProof/>
      </w:rPr>
      <w:t>14</w:t>
    </w:r>
    <w:r w:rsidRPr="00876517">
      <w:rPr>
        <w:rStyle w:val="PageNumber"/>
      </w:rPr>
      <w:fldChar w:fldCharType="end"/>
    </w:r>
    <w:r w:rsidRPr="00876517">
      <w:rPr>
        <w:rStyle w:val="PageNumber"/>
      </w:rPr>
      <w:t xml:space="preserve"> of 19</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Pr="00876517" w:rsidRDefault="00D12669" w:rsidP="002F35CD">
    <w:pPr>
      <w:pBdr>
        <w:top w:val="single" w:sz="8" w:space="0" w:color="auto"/>
      </w:pBdr>
      <w:tabs>
        <w:tab w:val="right" w:pos="10080"/>
      </w:tabs>
      <w:spacing w:before="240"/>
      <w:rPr>
        <w:rStyle w:val="PageNumber"/>
      </w:rPr>
    </w:pPr>
    <w:r w:rsidRPr="00876517">
      <w:rPr>
        <w:rStyle w:val="PageNumber"/>
      </w:rPr>
      <w:t>Palm Beach County Water Utilities Department</w:t>
    </w:r>
    <w:r w:rsidRPr="00876517">
      <w:rPr>
        <w:rStyle w:val="PageNumber"/>
        <w:color w:val="FF0000"/>
      </w:rPr>
      <w:tab/>
    </w:r>
    <w:r w:rsidRPr="00876517">
      <w:rPr>
        <w:rStyle w:val="PageNumber"/>
      </w:rPr>
      <w:t>Permit No. 0990347-012-AF</w:t>
    </w:r>
  </w:p>
  <w:p w:rsidR="00D12669" w:rsidRPr="00876517" w:rsidRDefault="00D12669" w:rsidP="00E1325C">
    <w:pPr>
      <w:tabs>
        <w:tab w:val="right" w:pos="10080"/>
      </w:tabs>
      <w:spacing w:after="120"/>
      <w:rPr>
        <w:rStyle w:val="PageNumber"/>
      </w:rPr>
    </w:pPr>
    <w:r w:rsidRPr="00876517">
      <w:rPr>
        <w:rStyle w:val="PageNumber"/>
      </w:rPr>
      <w:t>Southern Region Water Reclamation Facility</w:t>
    </w:r>
    <w:r w:rsidRPr="00876517">
      <w:rPr>
        <w:rStyle w:val="PageNumber"/>
      </w:rPr>
      <w:tab/>
    </w:r>
    <w:r w:rsidRPr="00876517">
      <w:t>Federally Enforceable State Operation Permit Renewal</w:t>
    </w:r>
  </w:p>
  <w:p w:rsidR="00D12669" w:rsidRPr="00876517" w:rsidRDefault="00D12669" w:rsidP="00BC33B4">
    <w:pPr>
      <w:jc w:val="center"/>
      <w:rPr>
        <w:rStyle w:val="PageNumber"/>
      </w:rPr>
    </w:pPr>
    <w:r w:rsidRPr="00876517">
      <w:t xml:space="preserve">Page </w:t>
    </w:r>
    <w:r w:rsidRPr="00876517">
      <w:rPr>
        <w:rStyle w:val="PageNumber"/>
      </w:rPr>
      <w:fldChar w:fldCharType="begin"/>
    </w:r>
    <w:r w:rsidRPr="00876517">
      <w:rPr>
        <w:rStyle w:val="PageNumber"/>
      </w:rPr>
      <w:instrText xml:space="preserve"> PAGE </w:instrText>
    </w:r>
    <w:r w:rsidRPr="00876517">
      <w:rPr>
        <w:rStyle w:val="PageNumber"/>
      </w:rPr>
      <w:fldChar w:fldCharType="separate"/>
    </w:r>
    <w:r w:rsidR="00876517">
      <w:rPr>
        <w:rStyle w:val="PageNumber"/>
        <w:noProof/>
      </w:rPr>
      <w:t>19</w:t>
    </w:r>
    <w:r w:rsidRPr="00876517">
      <w:rPr>
        <w:rStyle w:val="PageNumber"/>
      </w:rPr>
      <w:fldChar w:fldCharType="end"/>
    </w:r>
    <w:r w:rsidRPr="00876517">
      <w:rPr>
        <w:rStyle w:val="PageNumber"/>
      </w:rPr>
      <w:t xml:space="preserve"> of 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669" w:rsidRDefault="00D12669">
      <w:r>
        <w:separator/>
      </w:r>
    </w:p>
  </w:footnote>
  <w:footnote w:type="continuationSeparator" w:id="0">
    <w:p w:rsidR="00D12669" w:rsidRDefault="00D12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D12669" w:rsidRPr="00DC2716" w:rsidTr="00C74E75">
      <w:tc>
        <w:tcPr>
          <w:tcW w:w="2616" w:type="dxa"/>
        </w:tcPr>
        <w:p w:rsidR="00D12669" w:rsidRPr="00DC2716" w:rsidRDefault="00D12669" w:rsidP="00662D96">
          <w:r w:rsidRPr="00DC2716">
            <w:rPr>
              <w:noProof/>
            </w:rPr>
            <w:drawing>
              <wp:inline distT="0" distB="0" distL="0" distR="0" wp14:anchorId="1DD1E882" wp14:editId="18D1785A">
                <wp:extent cx="1417320" cy="1417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232" w:type="dxa"/>
        </w:tcPr>
        <w:p w:rsidR="00D12669" w:rsidRPr="00DC2716" w:rsidRDefault="00D12669" w:rsidP="00662D96">
          <w:pPr>
            <w:spacing w:line="120" w:lineRule="atLeast"/>
            <w:jc w:val="center"/>
            <w:rPr>
              <w:rFonts w:eastAsia="Adobe Fan Heiti Std B"/>
              <w:b/>
              <w:sz w:val="32"/>
              <w:szCs w:val="32"/>
            </w:rPr>
          </w:pPr>
          <w:r w:rsidRPr="00DC2716">
            <w:rPr>
              <w:rFonts w:eastAsia="Adobe Fan Heiti Std B"/>
              <w:b/>
              <w:sz w:val="36"/>
              <w:szCs w:val="36"/>
            </w:rPr>
            <w:t>F</w:t>
          </w:r>
          <w:r w:rsidRPr="00DC2716">
            <w:rPr>
              <w:rFonts w:eastAsia="Adobe Fan Heiti Std B"/>
              <w:b/>
              <w:sz w:val="32"/>
              <w:szCs w:val="32"/>
            </w:rPr>
            <w:t xml:space="preserve">lorida </w:t>
          </w:r>
          <w:r w:rsidRPr="00DC2716">
            <w:rPr>
              <w:rFonts w:eastAsia="Adobe Fan Heiti Std B"/>
              <w:b/>
              <w:sz w:val="36"/>
              <w:szCs w:val="36"/>
            </w:rPr>
            <w:t>D</w:t>
          </w:r>
          <w:r w:rsidRPr="00DC2716">
            <w:rPr>
              <w:rFonts w:eastAsia="Adobe Fan Heiti Std B"/>
              <w:b/>
              <w:sz w:val="32"/>
              <w:szCs w:val="32"/>
            </w:rPr>
            <w:t>epartment of</w:t>
          </w:r>
        </w:p>
        <w:p w:rsidR="00D12669" w:rsidRPr="00DC2716" w:rsidRDefault="00D12669" w:rsidP="00662D96">
          <w:pPr>
            <w:spacing w:line="120" w:lineRule="atLeast"/>
            <w:jc w:val="center"/>
            <w:rPr>
              <w:rFonts w:eastAsia="Adobe Fan Heiti Std B"/>
              <w:b/>
              <w:sz w:val="32"/>
              <w:szCs w:val="32"/>
            </w:rPr>
          </w:pPr>
          <w:r w:rsidRPr="00DC2716">
            <w:rPr>
              <w:rFonts w:eastAsia="Adobe Fan Heiti Std B"/>
              <w:b/>
              <w:sz w:val="36"/>
              <w:szCs w:val="36"/>
            </w:rPr>
            <w:t>E</w:t>
          </w:r>
          <w:r w:rsidRPr="00DC2716">
            <w:rPr>
              <w:rFonts w:eastAsia="Adobe Fan Heiti Std B"/>
              <w:b/>
              <w:sz w:val="32"/>
              <w:szCs w:val="32"/>
            </w:rPr>
            <w:t xml:space="preserve">nvironmental </w:t>
          </w:r>
          <w:r w:rsidRPr="00DC2716">
            <w:rPr>
              <w:rFonts w:eastAsia="Adobe Fan Heiti Std B"/>
              <w:b/>
              <w:sz w:val="36"/>
              <w:szCs w:val="36"/>
            </w:rPr>
            <w:t>P</w:t>
          </w:r>
          <w:r w:rsidRPr="00DC2716">
            <w:rPr>
              <w:rFonts w:eastAsia="Adobe Fan Heiti Std B"/>
              <w:b/>
              <w:sz w:val="32"/>
              <w:szCs w:val="32"/>
            </w:rPr>
            <w:t>rotection</w:t>
          </w:r>
        </w:p>
        <w:p w:rsidR="00D12669" w:rsidRPr="00DC2716" w:rsidRDefault="00D12669" w:rsidP="00662D96">
          <w:pPr>
            <w:spacing w:line="220" w:lineRule="exact"/>
            <w:jc w:val="center"/>
            <w:rPr>
              <w:rFonts w:eastAsia="Adobe Fan Heiti Std B"/>
              <w:b/>
              <w:sz w:val="22"/>
              <w:szCs w:val="22"/>
            </w:rPr>
          </w:pPr>
        </w:p>
        <w:p w:rsidR="00D12669" w:rsidRPr="00DC2716" w:rsidRDefault="00D12669" w:rsidP="00662D96">
          <w:pPr>
            <w:jc w:val="center"/>
            <w:rPr>
              <w:rFonts w:eastAsia="Adobe Fan Heiti Std B"/>
              <w:sz w:val="22"/>
              <w:szCs w:val="22"/>
            </w:rPr>
          </w:pPr>
          <w:r w:rsidRPr="00DC2716">
            <w:rPr>
              <w:sz w:val="22"/>
              <w:szCs w:val="22"/>
            </w:rPr>
            <w:fldChar w:fldCharType="begin"/>
          </w:r>
          <w:r w:rsidRPr="00DC2716">
            <w:rPr>
              <w:sz w:val="22"/>
              <w:szCs w:val="22"/>
            </w:rPr>
            <w:instrText xml:space="preserve"> FILLIN  "Enter Address"  \* MERGEFORMAT </w:instrText>
          </w:r>
          <w:r w:rsidRPr="00DC2716">
            <w:rPr>
              <w:sz w:val="22"/>
              <w:szCs w:val="22"/>
            </w:rPr>
            <w:fldChar w:fldCharType="separate"/>
          </w:r>
          <w:r>
            <w:rPr>
              <w:sz w:val="22"/>
              <w:szCs w:val="22"/>
            </w:rPr>
            <w:t>Bob Martinez Center</w:t>
          </w:r>
          <w:r>
            <w:rPr>
              <w:sz w:val="22"/>
              <w:szCs w:val="22"/>
            </w:rPr>
            <w:br/>
            <w:t>2600 Blair Stone Road</w:t>
          </w:r>
          <w:r>
            <w:rPr>
              <w:sz w:val="22"/>
              <w:szCs w:val="22"/>
            </w:rPr>
            <w:br/>
            <w:t>Tallahassee, Florida 32399-2400</w:t>
          </w:r>
          <w:r w:rsidRPr="00DC2716">
            <w:rPr>
              <w:sz w:val="22"/>
              <w:szCs w:val="22"/>
            </w:rPr>
            <w:fldChar w:fldCharType="end"/>
          </w:r>
        </w:p>
      </w:tc>
      <w:tc>
        <w:tcPr>
          <w:tcW w:w="2610" w:type="dxa"/>
        </w:tcPr>
        <w:p w:rsidR="00D12669" w:rsidRPr="00DC2716" w:rsidRDefault="00D12669" w:rsidP="00662D96">
          <w:pPr>
            <w:jc w:val="right"/>
            <w:rPr>
              <w:rFonts w:eastAsia="Adobe Fan Heiti Std B"/>
              <w:sz w:val="22"/>
              <w:szCs w:val="22"/>
            </w:rPr>
          </w:pPr>
          <w:r w:rsidRPr="00DC2716">
            <w:rPr>
              <w:rFonts w:eastAsia="Adobe Fan Heiti Std B"/>
              <w:sz w:val="22"/>
              <w:szCs w:val="22"/>
            </w:rPr>
            <w:t>Rick Scott</w:t>
          </w:r>
        </w:p>
        <w:p w:rsidR="00D12669" w:rsidRPr="00DC2716" w:rsidRDefault="00D12669" w:rsidP="00662D96">
          <w:pPr>
            <w:spacing w:line="200" w:lineRule="exact"/>
            <w:jc w:val="right"/>
            <w:rPr>
              <w:rFonts w:eastAsia="Adobe Fan Heiti Std B"/>
              <w:sz w:val="22"/>
              <w:szCs w:val="22"/>
            </w:rPr>
          </w:pPr>
          <w:r w:rsidRPr="00DC2716">
            <w:rPr>
              <w:rFonts w:eastAsia="Adobe Fan Heiti Std B"/>
              <w:sz w:val="22"/>
              <w:szCs w:val="22"/>
            </w:rPr>
            <w:t>Governor</w:t>
          </w:r>
        </w:p>
        <w:p w:rsidR="00D12669" w:rsidRPr="00DC2716" w:rsidRDefault="00D12669" w:rsidP="00662D96">
          <w:pPr>
            <w:jc w:val="right"/>
            <w:rPr>
              <w:rFonts w:eastAsia="Adobe Fan Heiti Std B"/>
              <w:sz w:val="22"/>
              <w:szCs w:val="22"/>
            </w:rPr>
          </w:pPr>
        </w:p>
        <w:p w:rsidR="00D12669" w:rsidRPr="00DC2716" w:rsidRDefault="00D12669" w:rsidP="00662D96">
          <w:pPr>
            <w:jc w:val="right"/>
            <w:rPr>
              <w:rFonts w:eastAsia="Adobe Fan Heiti Std B"/>
              <w:sz w:val="22"/>
              <w:szCs w:val="22"/>
            </w:rPr>
          </w:pPr>
          <w:r w:rsidRPr="00DC2716">
            <w:rPr>
              <w:rFonts w:eastAsia="Adobe Fan Heiti Std B"/>
              <w:sz w:val="22"/>
              <w:szCs w:val="22"/>
            </w:rPr>
            <w:t>Carlos Lopez-Cantera</w:t>
          </w:r>
          <w:r w:rsidRPr="00DC2716">
            <w:rPr>
              <w:rFonts w:eastAsia="Adobe Fan Heiti Std B"/>
              <w:sz w:val="22"/>
              <w:szCs w:val="22"/>
            </w:rPr>
            <w:br/>
            <w:t>Lt. Governor</w:t>
          </w:r>
        </w:p>
        <w:p w:rsidR="00D12669" w:rsidRPr="00DC2716" w:rsidRDefault="00D12669" w:rsidP="00662D96">
          <w:pPr>
            <w:jc w:val="right"/>
            <w:rPr>
              <w:rFonts w:eastAsia="Adobe Fan Heiti Std B"/>
              <w:sz w:val="22"/>
              <w:szCs w:val="22"/>
            </w:rPr>
          </w:pPr>
        </w:p>
        <w:p w:rsidR="00D12669" w:rsidRPr="00DC2716" w:rsidRDefault="00D12669" w:rsidP="00662D96">
          <w:pPr>
            <w:jc w:val="right"/>
            <w:rPr>
              <w:rFonts w:eastAsia="Adobe Fan Heiti Std B"/>
              <w:sz w:val="22"/>
              <w:szCs w:val="22"/>
            </w:rPr>
          </w:pPr>
          <w:r w:rsidRPr="00DC2716">
            <w:rPr>
              <w:rFonts w:eastAsia="Adobe Fan Heiti Std B"/>
              <w:sz w:val="22"/>
              <w:szCs w:val="22"/>
            </w:rPr>
            <w:t>Noah Valenstein</w:t>
          </w:r>
        </w:p>
        <w:p w:rsidR="00D12669" w:rsidRPr="00DC2716" w:rsidRDefault="00D12669" w:rsidP="00662D96">
          <w:pPr>
            <w:jc w:val="right"/>
            <w:rPr>
              <w:rFonts w:eastAsia="Adobe Fan Heiti Std B"/>
              <w:color w:val="006666"/>
            </w:rPr>
          </w:pPr>
          <w:r w:rsidRPr="00DC2716">
            <w:rPr>
              <w:rFonts w:eastAsia="Adobe Fan Heiti Std B"/>
              <w:sz w:val="22"/>
              <w:szCs w:val="22"/>
            </w:rPr>
            <w:t>Secretary</w:t>
          </w:r>
        </w:p>
      </w:tc>
    </w:tr>
  </w:tbl>
  <w:p w:rsidR="00D12669" w:rsidRPr="00662D96" w:rsidRDefault="00D12669" w:rsidP="00662D96">
    <w:pPr>
      <w:pStyle w:val="Header"/>
      <w:rPr>
        <w:rFonts w:ascii="Times New Roman" w:hAnsi="Times New Roman"/>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Pr="00DE6A6E" w:rsidRDefault="00D12669" w:rsidP="00DE6A6E">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rsidR="00D12669" w:rsidRPr="00DE6A6E" w:rsidRDefault="00D12669" w:rsidP="00DE6A6E">
    <w:pPr>
      <w:pStyle w:val="Header"/>
      <w:pBdr>
        <w:between w:val="single" w:sz="8" w:space="1" w:color="auto"/>
      </w:pBdr>
      <w:tabs>
        <w:tab w:val="clear" w:pos="4320"/>
        <w:tab w:val="clear" w:pos="8640"/>
      </w:tabs>
      <w:spacing w:after="240"/>
      <w:jc w:val="center"/>
      <w:rPr>
        <w:rFonts w:ascii="Times New Roman" w:hAnsi="Times New Roman"/>
        <w:b/>
        <w:sz w:val="22"/>
      </w:rPr>
    </w:pPr>
    <w:r w:rsidRPr="00DE6A6E">
      <w:rPr>
        <w:rStyle w:val="PageNumber"/>
        <w:rFonts w:ascii="Times New Roman" w:hAnsi="Times New Roman"/>
        <w:b/>
        <w:sz w:val="22"/>
      </w:rPr>
      <w:t xml:space="preserve">A.  </w:t>
    </w:r>
    <w:r>
      <w:rPr>
        <w:rStyle w:val="PageNumber"/>
        <w:rFonts w:ascii="Times New Roman" w:hAnsi="Times New Roman"/>
        <w:b/>
        <w:sz w:val="22"/>
      </w:rPr>
      <w:t>Liquid Process Units and Solids Handling Process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Default="00D12669" w:rsidP="005271ED">
    <w:pPr>
      <w:pStyle w:val="Header"/>
      <w:numPr>
        <w:ilvl w:val="0"/>
        <w:numId w:val="7"/>
      </w:numPr>
      <w:ind w:left="0" w:firstLine="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Pr="00BC1598" w:rsidRDefault="00D12669" w:rsidP="00BC1598">
    <w:pPr>
      <w:pStyle w:val="Header"/>
      <w:pBdr>
        <w:between w:val="single" w:sz="8" w:space="1" w:color="auto"/>
      </w:pBdr>
      <w:tabs>
        <w:tab w:val="clear" w:pos="4320"/>
        <w:tab w:val="clear" w:pos="8640"/>
      </w:tabs>
      <w:jc w:val="center"/>
      <w:rPr>
        <w:rStyle w:val="PageNumber"/>
        <w:rFonts w:ascii="Times New Roman" w:hAnsi="Times New Roman"/>
        <w:sz w:val="22"/>
        <w:szCs w:val="22"/>
      </w:rPr>
    </w:pPr>
    <w:r w:rsidRPr="00BC1598">
      <w:rPr>
        <w:rFonts w:ascii="Times New Roman" w:hAnsi="Times New Roman"/>
        <w:b/>
        <w:caps/>
        <w:sz w:val="22"/>
        <w:szCs w:val="22"/>
      </w:rPr>
      <w:t xml:space="preserve">SECTION 3.  </w:t>
    </w:r>
    <w:r w:rsidRPr="00BC1598">
      <w:rPr>
        <w:rFonts w:ascii="Times New Roman" w:hAnsi="Times New Roman"/>
        <w:b/>
        <w:sz w:val="22"/>
        <w:szCs w:val="22"/>
      </w:rPr>
      <w:t>EMISSIONS UNIT SPECIFIC CONDITIONS</w:t>
    </w:r>
  </w:p>
  <w:p w:rsidR="00D12669" w:rsidRPr="00213B2B" w:rsidRDefault="00D12669" w:rsidP="00BC1598">
    <w:pPr>
      <w:pStyle w:val="Header"/>
      <w:pBdr>
        <w:between w:val="single" w:sz="8" w:space="1" w:color="auto"/>
      </w:pBdr>
      <w:tabs>
        <w:tab w:val="clear" w:pos="4320"/>
        <w:tab w:val="clear" w:pos="8640"/>
      </w:tabs>
      <w:spacing w:after="240"/>
      <w:jc w:val="center"/>
      <w:rPr>
        <w:rFonts w:ascii="Times New Roman" w:hAnsi="Times New Roman"/>
        <w:b/>
        <w:sz w:val="22"/>
        <w:szCs w:val="22"/>
      </w:rPr>
    </w:pPr>
    <w:r w:rsidRPr="00BC1598">
      <w:rPr>
        <w:rStyle w:val="PageNumber"/>
        <w:rFonts w:ascii="Times New Roman" w:hAnsi="Times New Roman"/>
        <w:b/>
        <w:sz w:val="22"/>
        <w:szCs w:val="22"/>
      </w:rPr>
      <w:t xml:space="preserve">B.  </w:t>
    </w:r>
    <w:r>
      <w:rPr>
        <w:rStyle w:val="PageNumber"/>
        <w:rFonts w:ascii="Times New Roman" w:hAnsi="Times New Roman"/>
        <w:b/>
        <w:sz w:val="22"/>
        <w:szCs w:val="22"/>
      </w:rPr>
      <w:t>Four Non-Emergency Generators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Pr="00BC1598" w:rsidRDefault="00D12669" w:rsidP="00BC1598">
    <w:pPr>
      <w:pStyle w:val="Header"/>
      <w:pBdr>
        <w:between w:val="single" w:sz="8" w:space="1" w:color="auto"/>
      </w:pBdr>
      <w:tabs>
        <w:tab w:val="clear" w:pos="4320"/>
        <w:tab w:val="clear" w:pos="8640"/>
      </w:tabs>
      <w:jc w:val="center"/>
      <w:rPr>
        <w:rStyle w:val="PageNumber"/>
        <w:rFonts w:ascii="Times New Roman" w:hAnsi="Times New Roman"/>
        <w:sz w:val="22"/>
        <w:szCs w:val="22"/>
      </w:rPr>
    </w:pPr>
    <w:r w:rsidRPr="00BC1598">
      <w:rPr>
        <w:rFonts w:ascii="Times New Roman" w:hAnsi="Times New Roman"/>
        <w:b/>
        <w:caps/>
        <w:sz w:val="22"/>
        <w:szCs w:val="22"/>
      </w:rPr>
      <w:t xml:space="preserve">SECTION 3.  </w:t>
    </w:r>
    <w:r w:rsidRPr="00BC1598">
      <w:rPr>
        <w:rFonts w:ascii="Times New Roman" w:hAnsi="Times New Roman"/>
        <w:b/>
        <w:sz w:val="22"/>
        <w:szCs w:val="22"/>
      </w:rPr>
      <w:t>EMISSIONS UNIT SPECIFIC CONDITIONS</w:t>
    </w:r>
  </w:p>
  <w:p w:rsidR="00D12669" w:rsidRPr="00213B2B" w:rsidRDefault="00D12669" w:rsidP="00BC1598">
    <w:pPr>
      <w:pStyle w:val="Header"/>
      <w:pBdr>
        <w:between w:val="single" w:sz="8" w:space="1" w:color="auto"/>
      </w:pBdr>
      <w:tabs>
        <w:tab w:val="clear" w:pos="4320"/>
        <w:tab w:val="clear" w:pos="8640"/>
      </w:tabs>
      <w:spacing w:after="240"/>
      <w:jc w:val="center"/>
      <w:rPr>
        <w:rFonts w:ascii="Times New Roman" w:hAnsi="Times New Roman"/>
        <w:b/>
        <w:sz w:val="22"/>
        <w:szCs w:val="22"/>
      </w:rPr>
    </w:pPr>
    <w:r>
      <w:rPr>
        <w:rStyle w:val="PageNumber"/>
        <w:rFonts w:ascii="Times New Roman" w:hAnsi="Times New Roman"/>
        <w:b/>
        <w:sz w:val="22"/>
        <w:szCs w:val="22"/>
      </w:rPr>
      <w:t>C</w:t>
    </w:r>
    <w:r w:rsidRPr="00BC1598">
      <w:rPr>
        <w:rStyle w:val="PageNumber"/>
        <w:rFonts w:ascii="Times New Roman" w:hAnsi="Times New Roman"/>
        <w:b/>
        <w:sz w:val="22"/>
        <w:szCs w:val="22"/>
      </w:rPr>
      <w:t xml:space="preserve">.  </w:t>
    </w:r>
    <w:r>
      <w:rPr>
        <w:rStyle w:val="PageNumber"/>
        <w:rFonts w:ascii="Times New Roman" w:hAnsi="Times New Roman"/>
        <w:b/>
        <w:sz w:val="22"/>
        <w:szCs w:val="22"/>
      </w:rPr>
      <w:t>Digester Boilers and Flare</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Pr="00BC1598" w:rsidRDefault="00D12669" w:rsidP="00BC1598">
    <w:pPr>
      <w:pStyle w:val="Header"/>
      <w:pBdr>
        <w:between w:val="single" w:sz="8" w:space="1" w:color="auto"/>
      </w:pBdr>
      <w:tabs>
        <w:tab w:val="clear" w:pos="4320"/>
        <w:tab w:val="clear" w:pos="8640"/>
      </w:tabs>
      <w:jc w:val="center"/>
      <w:rPr>
        <w:rStyle w:val="PageNumber"/>
        <w:rFonts w:ascii="Times New Roman" w:hAnsi="Times New Roman"/>
        <w:sz w:val="22"/>
        <w:szCs w:val="22"/>
      </w:rPr>
    </w:pPr>
    <w:r w:rsidRPr="00BC1598">
      <w:rPr>
        <w:rFonts w:ascii="Times New Roman" w:hAnsi="Times New Roman"/>
        <w:b/>
        <w:caps/>
        <w:sz w:val="22"/>
        <w:szCs w:val="22"/>
      </w:rPr>
      <w:t xml:space="preserve">SECTION 3.  </w:t>
    </w:r>
    <w:r w:rsidRPr="00BC1598">
      <w:rPr>
        <w:rFonts w:ascii="Times New Roman" w:hAnsi="Times New Roman"/>
        <w:b/>
        <w:sz w:val="22"/>
        <w:szCs w:val="22"/>
      </w:rPr>
      <w:t>EMISSIONS UNIT SPECIFIC CONDITIONS</w:t>
    </w:r>
  </w:p>
  <w:p w:rsidR="00D12669" w:rsidRPr="00213B2B" w:rsidRDefault="00D12669" w:rsidP="00BC1598">
    <w:pPr>
      <w:pStyle w:val="Header"/>
      <w:pBdr>
        <w:between w:val="single" w:sz="8" w:space="1" w:color="auto"/>
      </w:pBdr>
      <w:tabs>
        <w:tab w:val="clear" w:pos="4320"/>
        <w:tab w:val="clear" w:pos="8640"/>
      </w:tabs>
      <w:spacing w:after="240"/>
      <w:jc w:val="center"/>
      <w:rPr>
        <w:rFonts w:ascii="Times New Roman" w:hAnsi="Times New Roman"/>
        <w:b/>
        <w:sz w:val="22"/>
        <w:szCs w:val="22"/>
      </w:rPr>
    </w:pPr>
    <w:r>
      <w:rPr>
        <w:rStyle w:val="PageNumber"/>
        <w:rFonts w:ascii="Times New Roman" w:hAnsi="Times New Roman"/>
        <w:b/>
        <w:sz w:val="22"/>
        <w:szCs w:val="22"/>
      </w:rPr>
      <w:t>D</w:t>
    </w:r>
    <w:r w:rsidRPr="00BC1598">
      <w:rPr>
        <w:rStyle w:val="PageNumber"/>
        <w:rFonts w:ascii="Times New Roman" w:hAnsi="Times New Roman"/>
        <w:b/>
        <w:sz w:val="22"/>
        <w:szCs w:val="22"/>
      </w:rPr>
      <w:t xml:space="preserve">.  </w:t>
    </w:r>
    <w:r>
      <w:rPr>
        <w:rStyle w:val="PageNumber"/>
        <w:rFonts w:ascii="Times New Roman" w:hAnsi="Times New Roman"/>
        <w:b/>
        <w:sz w:val="22"/>
        <w:szCs w:val="22"/>
      </w:rPr>
      <w:t>Digester Gas Generators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Pr="00D728B4" w:rsidRDefault="00D12669" w:rsidP="00D728B4">
    <w:pPr>
      <w:pStyle w:val="Header"/>
      <w:pBdr>
        <w:bottom w:val="single" w:sz="4" w:space="1" w:color="auto"/>
      </w:pBdr>
      <w:jc w:val="center"/>
      <w:rPr>
        <w:rFonts w:ascii="Times New Roman" w:hAnsi="Times New Roman"/>
        <w:sz w:val="22"/>
        <w:szCs w:val="22"/>
      </w:rPr>
    </w:pPr>
    <w:r>
      <w:rPr>
        <w:rFonts w:ascii="Times New Roman" w:hAnsi="Times New Roman"/>
        <w:b/>
        <w:sz w:val="22"/>
        <w:szCs w:val="22"/>
      </w:rPr>
      <w:t>FINAL</w:t>
    </w:r>
    <w:r w:rsidRPr="00D728B4">
      <w:rPr>
        <w:rFonts w:ascii="Times New Roman" w:hAnsi="Times New Roman"/>
        <w:b/>
        <w:sz w:val="22"/>
        <w:szCs w:val="22"/>
      </w:rPr>
      <w:t xml:space="preserve"> PERMIT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Default="00D12669" w:rsidP="005271ED">
    <w:pPr>
      <w:pStyle w:val="Header"/>
      <w:numPr>
        <w:ilvl w:val="0"/>
        <w:numId w:val="2"/>
      </w:numPr>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Pr="00DE6A6E" w:rsidRDefault="00D12669" w:rsidP="00DE6A6E">
    <w:pPr>
      <w:pStyle w:val="Header"/>
      <w:pBdr>
        <w:bottom w:val="single" w:sz="8" w:space="1" w:color="auto"/>
      </w:pBdr>
      <w:tabs>
        <w:tab w:val="clear" w:pos="4320"/>
        <w:tab w:val="clear" w:pos="8640"/>
      </w:tabs>
      <w:spacing w:after="240"/>
      <w:jc w:val="center"/>
      <w:rPr>
        <w:rFonts w:ascii="Times New Roman" w:hAnsi="Times New Roman"/>
        <w:sz w:val="22"/>
      </w:rPr>
    </w:pPr>
    <w:r>
      <w:rPr>
        <w:rFonts w:ascii="Times New Roman" w:hAnsi="Times New Roman"/>
        <w:b/>
        <w:sz w:val="22"/>
      </w:rPr>
      <w:t>SECTION 1.  GENERAL INFORMATION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Default="00D12669" w:rsidP="005271ED">
    <w:pPr>
      <w:pStyle w:val="Header"/>
      <w:numPr>
        <w:ilvl w:val="0"/>
        <w:numId w:val="3"/>
      </w:numPr>
      <w:ind w:left="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Default="00D12669" w:rsidP="005271ED">
    <w:pPr>
      <w:pStyle w:val="Header"/>
      <w:numPr>
        <w:ilvl w:val="0"/>
        <w:numId w:val="4"/>
      </w:numPr>
      <w:ind w:left="0" w:firstLine="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Pr="00DE6A6E" w:rsidRDefault="00D12669" w:rsidP="00DE6A6E">
    <w:pPr>
      <w:pStyle w:val="BodyText"/>
      <w:pBdr>
        <w:bottom w:val="single" w:sz="8" w:space="1" w:color="auto"/>
      </w:pBdr>
      <w:spacing w:after="240"/>
      <w:jc w:val="center"/>
      <w:rPr>
        <w:b/>
        <w:bCs/>
        <w:caps/>
        <w:sz w:val="22"/>
        <w:szCs w:val="22"/>
      </w:rPr>
    </w:pPr>
    <w:r w:rsidRPr="00DE6A6E">
      <w:rPr>
        <w:b/>
        <w:bCs/>
        <w:sz w:val="22"/>
        <w:szCs w:val="22"/>
      </w:rPr>
      <w:t>SECTION 2.  ADMINISTRATIVE REQUIREMENTS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Default="00D12669" w:rsidP="005271ED">
    <w:pPr>
      <w:pStyle w:val="Header"/>
      <w:numPr>
        <w:ilvl w:val="0"/>
        <w:numId w:val="5"/>
      </w:numPr>
      <w:ind w:left="0" w:firstLine="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669" w:rsidRDefault="00D12669" w:rsidP="005271ED">
    <w:pPr>
      <w:pStyle w:val="Header"/>
      <w:numPr>
        <w:ilvl w:val="0"/>
        <w:numId w:val="6"/>
      </w:num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1426F"/>
    <w:multiLevelType w:val="hybridMultilevel"/>
    <w:tmpl w:val="9BE2A5D6"/>
    <w:lvl w:ilvl="0" w:tplc="27A2D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C01D33"/>
    <w:multiLevelType w:val="hybridMultilevel"/>
    <w:tmpl w:val="A43E6A1C"/>
    <w:lvl w:ilvl="0" w:tplc="27A2D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2E1125"/>
    <w:multiLevelType w:val="hybridMultilevel"/>
    <w:tmpl w:val="DFFEAEF6"/>
    <w:lvl w:ilvl="0" w:tplc="27A2D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3159FD"/>
    <w:multiLevelType w:val="hybridMultilevel"/>
    <w:tmpl w:val="30242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D28DE"/>
    <w:multiLevelType w:val="hybridMultilevel"/>
    <w:tmpl w:val="7A1CF6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642BC"/>
    <w:multiLevelType w:val="hybridMultilevel"/>
    <w:tmpl w:val="EB3054F4"/>
    <w:lvl w:ilvl="0" w:tplc="27A2D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0161D0"/>
    <w:multiLevelType w:val="hybridMultilevel"/>
    <w:tmpl w:val="6D666B90"/>
    <w:lvl w:ilvl="0" w:tplc="27A2D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240893"/>
    <w:multiLevelType w:val="hybridMultilevel"/>
    <w:tmpl w:val="2EE8C0C8"/>
    <w:lvl w:ilvl="0" w:tplc="6FB0217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D7802F2"/>
    <w:multiLevelType w:val="hybridMultilevel"/>
    <w:tmpl w:val="6C6E3D00"/>
    <w:lvl w:ilvl="0" w:tplc="27A2D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8928BE"/>
    <w:multiLevelType w:val="hybridMultilevel"/>
    <w:tmpl w:val="951A8830"/>
    <w:lvl w:ilvl="0" w:tplc="27A2D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2162A88"/>
    <w:multiLevelType w:val="hybridMultilevel"/>
    <w:tmpl w:val="49EEA264"/>
    <w:lvl w:ilvl="0" w:tplc="27A2D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7F16559"/>
    <w:multiLevelType w:val="hybridMultilevel"/>
    <w:tmpl w:val="99C45C32"/>
    <w:lvl w:ilvl="0" w:tplc="27A2D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D42F28"/>
    <w:multiLevelType w:val="hybridMultilevel"/>
    <w:tmpl w:val="B9EC1696"/>
    <w:lvl w:ilvl="0" w:tplc="27A2D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6"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7" w15:restartNumberingAfterBreak="0">
    <w:nsid w:val="438209E5"/>
    <w:multiLevelType w:val="hybridMultilevel"/>
    <w:tmpl w:val="74740E18"/>
    <w:lvl w:ilvl="0" w:tplc="27A2D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19" w15:restartNumberingAfterBreak="0">
    <w:nsid w:val="45DB229A"/>
    <w:multiLevelType w:val="hybridMultilevel"/>
    <w:tmpl w:val="49EEA264"/>
    <w:lvl w:ilvl="0" w:tplc="27A2D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1" w15:restartNumberingAfterBreak="0">
    <w:nsid w:val="5CFC0932"/>
    <w:multiLevelType w:val="hybridMultilevel"/>
    <w:tmpl w:val="D9CCF3AE"/>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36E4326"/>
    <w:multiLevelType w:val="hybridMultilevel"/>
    <w:tmpl w:val="B8147686"/>
    <w:lvl w:ilvl="0" w:tplc="F1A85D9A">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24" w15:restartNumberingAfterBreak="0">
    <w:nsid w:val="67F43FFA"/>
    <w:multiLevelType w:val="hybridMultilevel"/>
    <w:tmpl w:val="1A4E735A"/>
    <w:lvl w:ilvl="0" w:tplc="27A2D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844990"/>
    <w:multiLevelType w:val="hybridMultilevel"/>
    <w:tmpl w:val="1DFA7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B6711C"/>
    <w:multiLevelType w:val="hybridMultilevel"/>
    <w:tmpl w:val="3AE6D1F2"/>
    <w:lvl w:ilvl="0" w:tplc="F1A85D9A">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28" w15:restartNumberingAfterBreak="0">
    <w:nsid w:val="78081BF0"/>
    <w:multiLevelType w:val="hybridMultilevel"/>
    <w:tmpl w:val="03149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BF5C2B"/>
    <w:multiLevelType w:val="hybridMultilevel"/>
    <w:tmpl w:val="57B66B6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FC56F62"/>
    <w:multiLevelType w:val="hybridMultilevel"/>
    <w:tmpl w:val="A5983E82"/>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4"/>
  </w:num>
  <w:num w:numId="2">
    <w:abstractNumId w:val="16"/>
  </w:num>
  <w:num w:numId="3">
    <w:abstractNumId w:val="27"/>
  </w:num>
  <w:num w:numId="4">
    <w:abstractNumId w:val="15"/>
  </w:num>
  <w:num w:numId="5">
    <w:abstractNumId w:val="20"/>
  </w:num>
  <w:num w:numId="6">
    <w:abstractNumId w:val="18"/>
  </w:num>
  <w:num w:numId="7">
    <w:abstractNumId w:val="23"/>
  </w:num>
  <w:num w:numId="8">
    <w:abstractNumId w:val="0"/>
  </w:num>
  <w:num w:numId="9">
    <w:abstractNumId w:val="29"/>
  </w:num>
  <w:num w:numId="10">
    <w:abstractNumId w:val="12"/>
  </w:num>
  <w:num w:numId="11">
    <w:abstractNumId w:val="2"/>
  </w:num>
  <w:num w:numId="12">
    <w:abstractNumId w:val="30"/>
  </w:num>
  <w:num w:numId="13">
    <w:abstractNumId w:val="21"/>
  </w:num>
  <w:num w:numId="14">
    <w:abstractNumId w:val="8"/>
  </w:num>
  <w:num w:numId="15">
    <w:abstractNumId w:val="3"/>
  </w:num>
  <w:num w:numId="16">
    <w:abstractNumId w:val="13"/>
  </w:num>
  <w:num w:numId="17">
    <w:abstractNumId w:val="7"/>
  </w:num>
  <w:num w:numId="18">
    <w:abstractNumId w:val="24"/>
  </w:num>
  <w:num w:numId="19">
    <w:abstractNumId w:val="26"/>
  </w:num>
  <w:num w:numId="20">
    <w:abstractNumId w:val="22"/>
  </w:num>
  <w:num w:numId="21">
    <w:abstractNumId w:val="4"/>
  </w:num>
  <w:num w:numId="22">
    <w:abstractNumId w:val="28"/>
  </w:num>
  <w:num w:numId="23">
    <w:abstractNumId w:val="9"/>
  </w:num>
  <w:num w:numId="24">
    <w:abstractNumId w:val="19"/>
  </w:num>
  <w:num w:numId="25">
    <w:abstractNumId w:val="11"/>
  </w:num>
  <w:num w:numId="26">
    <w:abstractNumId w:val="6"/>
  </w:num>
  <w:num w:numId="27">
    <w:abstractNumId w:val="1"/>
  </w:num>
  <w:num w:numId="28">
    <w:abstractNumId w:val="25"/>
  </w:num>
  <w:num w:numId="29">
    <w:abstractNumId w:val="17"/>
  </w:num>
  <w:num w:numId="30">
    <w:abstractNumId w:val="10"/>
  </w:num>
  <w:num w:numId="3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D9D"/>
    <w:rsid w:val="00004755"/>
    <w:rsid w:val="00006CBB"/>
    <w:rsid w:val="0001093E"/>
    <w:rsid w:val="00010C8B"/>
    <w:rsid w:val="0002002D"/>
    <w:rsid w:val="00021B67"/>
    <w:rsid w:val="000272FA"/>
    <w:rsid w:val="000301F0"/>
    <w:rsid w:val="000327B6"/>
    <w:rsid w:val="00033D12"/>
    <w:rsid w:val="000400BD"/>
    <w:rsid w:val="000413A9"/>
    <w:rsid w:val="000421CA"/>
    <w:rsid w:val="0004370F"/>
    <w:rsid w:val="00061161"/>
    <w:rsid w:val="000676C4"/>
    <w:rsid w:val="0007069A"/>
    <w:rsid w:val="00071393"/>
    <w:rsid w:val="00073862"/>
    <w:rsid w:val="000769B2"/>
    <w:rsid w:val="00082A4A"/>
    <w:rsid w:val="00083A6C"/>
    <w:rsid w:val="00083CDC"/>
    <w:rsid w:val="00086E86"/>
    <w:rsid w:val="0008760D"/>
    <w:rsid w:val="00095076"/>
    <w:rsid w:val="00096B72"/>
    <w:rsid w:val="00097A82"/>
    <w:rsid w:val="000A01C9"/>
    <w:rsid w:val="000A2841"/>
    <w:rsid w:val="000A69DE"/>
    <w:rsid w:val="000B0EF8"/>
    <w:rsid w:val="000B2A3F"/>
    <w:rsid w:val="000B454B"/>
    <w:rsid w:val="000C0066"/>
    <w:rsid w:val="000C0FDC"/>
    <w:rsid w:val="000C4E7D"/>
    <w:rsid w:val="000E0C35"/>
    <w:rsid w:val="000E56FC"/>
    <w:rsid w:val="000E66EB"/>
    <w:rsid w:val="000E6B80"/>
    <w:rsid w:val="000F2186"/>
    <w:rsid w:val="000F729F"/>
    <w:rsid w:val="0010129E"/>
    <w:rsid w:val="001013E6"/>
    <w:rsid w:val="00102B7A"/>
    <w:rsid w:val="0010368B"/>
    <w:rsid w:val="001051FE"/>
    <w:rsid w:val="001054EB"/>
    <w:rsid w:val="00106AB5"/>
    <w:rsid w:val="00110767"/>
    <w:rsid w:val="00111885"/>
    <w:rsid w:val="001171D5"/>
    <w:rsid w:val="00141D40"/>
    <w:rsid w:val="00143746"/>
    <w:rsid w:val="00144228"/>
    <w:rsid w:val="00145E66"/>
    <w:rsid w:val="00147C7F"/>
    <w:rsid w:val="00150944"/>
    <w:rsid w:val="0015384A"/>
    <w:rsid w:val="00156EB6"/>
    <w:rsid w:val="00162108"/>
    <w:rsid w:val="00164BA5"/>
    <w:rsid w:val="001663E5"/>
    <w:rsid w:val="001707E9"/>
    <w:rsid w:val="00170A52"/>
    <w:rsid w:val="0017201E"/>
    <w:rsid w:val="00172CF5"/>
    <w:rsid w:val="00173D9E"/>
    <w:rsid w:val="0017480E"/>
    <w:rsid w:val="00176CA2"/>
    <w:rsid w:val="00176D29"/>
    <w:rsid w:val="00177F13"/>
    <w:rsid w:val="001804E4"/>
    <w:rsid w:val="0018319E"/>
    <w:rsid w:val="00185E85"/>
    <w:rsid w:val="00191168"/>
    <w:rsid w:val="001957B0"/>
    <w:rsid w:val="00196914"/>
    <w:rsid w:val="001A0B66"/>
    <w:rsid w:val="001A0D33"/>
    <w:rsid w:val="001A1BCD"/>
    <w:rsid w:val="001A2891"/>
    <w:rsid w:val="001A4F3E"/>
    <w:rsid w:val="001A67E6"/>
    <w:rsid w:val="001A7AB2"/>
    <w:rsid w:val="001B0B41"/>
    <w:rsid w:val="001B1D57"/>
    <w:rsid w:val="001B2531"/>
    <w:rsid w:val="001B3039"/>
    <w:rsid w:val="001C1147"/>
    <w:rsid w:val="001C1A6B"/>
    <w:rsid w:val="001C2957"/>
    <w:rsid w:val="001C405C"/>
    <w:rsid w:val="001C6E7B"/>
    <w:rsid w:val="001C736C"/>
    <w:rsid w:val="001D4E7A"/>
    <w:rsid w:val="001D510B"/>
    <w:rsid w:val="001D6AED"/>
    <w:rsid w:val="001E21C6"/>
    <w:rsid w:val="001E33A5"/>
    <w:rsid w:val="001E3BD3"/>
    <w:rsid w:val="001E73F2"/>
    <w:rsid w:val="001F21BE"/>
    <w:rsid w:val="001F3799"/>
    <w:rsid w:val="0020599B"/>
    <w:rsid w:val="00207ACD"/>
    <w:rsid w:val="00212415"/>
    <w:rsid w:val="002134B4"/>
    <w:rsid w:val="00213B2B"/>
    <w:rsid w:val="0021432D"/>
    <w:rsid w:val="00215DC0"/>
    <w:rsid w:val="00216E8B"/>
    <w:rsid w:val="002236BC"/>
    <w:rsid w:val="0023192D"/>
    <w:rsid w:val="0023250C"/>
    <w:rsid w:val="00240A3E"/>
    <w:rsid w:val="00242BEE"/>
    <w:rsid w:val="00244387"/>
    <w:rsid w:val="00245DAA"/>
    <w:rsid w:val="00253E97"/>
    <w:rsid w:val="00256665"/>
    <w:rsid w:val="00262AAE"/>
    <w:rsid w:val="00264EFC"/>
    <w:rsid w:val="00265A3F"/>
    <w:rsid w:val="0026699A"/>
    <w:rsid w:val="002673C2"/>
    <w:rsid w:val="0027038C"/>
    <w:rsid w:val="00270F22"/>
    <w:rsid w:val="00272812"/>
    <w:rsid w:val="00274A5A"/>
    <w:rsid w:val="002829CC"/>
    <w:rsid w:val="00287194"/>
    <w:rsid w:val="00287E6F"/>
    <w:rsid w:val="00291614"/>
    <w:rsid w:val="002A0091"/>
    <w:rsid w:val="002A4F0F"/>
    <w:rsid w:val="002A60EC"/>
    <w:rsid w:val="002B069F"/>
    <w:rsid w:val="002B66D5"/>
    <w:rsid w:val="002B769D"/>
    <w:rsid w:val="002C33CB"/>
    <w:rsid w:val="002C4276"/>
    <w:rsid w:val="002C7295"/>
    <w:rsid w:val="002D01D2"/>
    <w:rsid w:val="002D3488"/>
    <w:rsid w:val="002D510C"/>
    <w:rsid w:val="002E246B"/>
    <w:rsid w:val="002E3463"/>
    <w:rsid w:val="002E44AB"/>
    <w:rsid w:val="002E65AF"/>
    <w:rsid w:val="002E7ECD"/>
    <w:rsid w:val="002F1171"/>
    <w:rsid w:val="002F31C9"/>
    <w:rsid w:val="002F3531"/>
    <w:rsid w:val="002F35CD"/>
    <w:rsid w:val="002F4FD6"/>
    <w:rsid w:val="00304FCE"/>
    <w:rsid w:val="00306B4A"/>
    <w:rsid w:val="003070A7"/>
    <w:rsid w:val="00307D88"/>
    <w:rsid w:val="00311637"/>
    <w:rsid w:val="003116F7"/>
    <w:rsid w:val="003139FA"/>
    <w:rsid w:val="00315295"/>
    <w:rsid w:val="003170AB"/>
    <w:rsid w:val="00321EDD"/>
    <w:rsid w:val="003230B5"/>
    <w:rsid w:val="003244D2"/>
    <w:rsid w:val="00333113"/>
    <w:rsid w:val="00333FB3"/>
    <w:rsid w:val="0033406F"/>
    <w:rsid w:val="00335481"/>
    <w:rsid w:val="003361FC"/>
    <w:rsid w:val="00336CCC"/>
    <w:rsid w:val="00344713"/>
    <w:rsid w:val="00344804"/>
    <w:rsid w:val="003550A9"/>
    <w:rsid w:val="003564EB"/>
    <w:rsid w:val="00363FFF"/>
    <w:rsid w:val="0037385D"/>
    <w:rsid w:val="003743E1"/>
    <w:rsid w:val="003746A4"/>
    <w:rsid w:val="003778D9"/>
    <w:rsid w:val="00383D63"/>
    <w:rsid w:val="00384AC1"/>
    <w:rsid w:val="003878BA"/>
    <w:rsid w:val="00390668"/>
    <w:rsid w:val="00396D11"/>
    <w:rsid w:val="003A28A9"/>
    <w:rsid w:val="003B2429"/>
    <w:rsid w:val="003B5274"/>
    <w:rsid w:val="003C001B"/>
    <w:rsid w:val="003C0C34"/>
    <w:rsid w:val="003C201F"/>
    <w:rsid w:val="003C3B1C"/>
    <w:rsid w:val="003C4F74"/>
    <w:rsid w:val="003D0274"/>
    <w:rsid w:val="003D5381"/>
    <w:rsid w:val="003E31AC"/>
    <w:rsid w:val="003E3552"/>
    <w:rsid w:val="003E7AE9"/>
    <w:rsid w:val="003F025B"/>
    <w:rsid w:val="003F08B2"/>
    <w:rsid w:val="003F1E8B"/>
    <w:rsid w:val="003F27EA"/>
    <w:rsid w:val="00401A89"/>
    <w:rsid w:val="00401F36"/>
    <w:rsid w:val="004032E4"/>
    <w:rsid w:val="004043EE"/>
    <w:rsid w:val="0040464A"/>
    <w:rsid w:val="004136DD"/>
    <w:rsid w:val="00414B08"/>
    <w:rsid w:val="0041598C"/>
    <w:rsid w:val="0042098D"/>
    <w:rsid w:val="00423FF2"/>
    <w:rsid w:val="00426FDE"/>
    <w:rsid w:val="004270C2"/>
    <w:rsid w:val="00427BD5"/>
    <w:rsid w:val="00431A4E"/>
    <w:rsid w:val="00431B1F"/>
    <w:rsid w:val="004367F7"/>
    <w:rsid w:val="00450126"/>
    <w:rsid w:val="004514C5"/>
    <w:rsid w:val="00454C7E"/>
    <w:rsid w:val="004622B6"/>
    <w:rsid w:val="0046478A"/>
    <w:rsid w:val="00466064"/>
    <w:rsid w:val="00472DD0"/>
    <w:rsid w:val="00472DE2"/>
    <w:rsid w:val="00474E7B"/>
    <w:rsid w:val="00477782"/>
    <w:rsid w:val="00480422"/>
    <w:rsid w:val="00487D9D"/>
    <w:rsid w:val="00492DC7"/>
    <w:rsid w:val="00493C35"/>
    <w:rsid w:val="00494AEB"/>
    <w:rsid w:val="00495101"/>
    <w:rsid w:val="00495A8F"/>
    <w:rsid w:val="004964BE"/>
    <w:rsid w:val="004A11EB"/>
    <w:rsid w:val="004A4E4E"/>
    <w:rsid w:val="004A74DC"/>
    <w:rsid w:val="004B0E21"/>
    <w:rsid w:val="004B7A02"/>
    <w:rsid w:val="004C1A4E"/>
    <w:rsid w:val="004D0D1D"/>
    <w:rsid w:val="004D1B11"/>
    <w:rsid w:val="004D39B8"/>
    <w:rsid w:val="004D5DDA"/>
    <w:rsid w:val="004D7A87"/>
    <w:rsid w:val="004E0D3E"/>
    <w:rsid w:val="004E2F08"/>
    <w:rsid w:val="004E386E"/>
    <w:rsid w:val="004F22B2"/>
    <w:rsid w:val="004F7C73"/>
    <w:rsid w:val="00500CF6"/>
    <w:rsid w:val="005010C9"/>
    <w:rsid w:val="005035DF"/>
    <w:rsid w:val="00504282"/>
    <w:rsid w:val="00511459"/>
    <w:rsid w:val="00520865"/>
    <w:rsid w:val="00525C99"/>
    <w:rsid w:val="005271ED"/>
    <w:rsid w:val="005316C2"/>
    <w:rsid w:val="00532B7A"/>
    <w:rsid w:val="00533AAC"/>
    <w:rsid w:val="00537D22"/>
    <w:rsid w:val="005416CE"/>
    <w:rsid w:val="00547819"/>
    <w:rsid w:val="00551F13"/>
    <w:rsid w:val="00553715"/>
    <w:rsid w:val="00557184"/>
    <w:rsid w:val="00563FF6"/>
    <w:rsid w:val="005673B2"/>
    <w:rsid w:val="0057015C"/>
    <w:rsid w:val="00571B3B"/>
    <w:rsid w:val="00574C34"/>
    <w:rsid w:val="00575E21"/>
    <w:rsid w:val="0057657D"/>
    <w:rsid w:val="0057743B"/>
    <w:rsid w:val="00580AED"/>
    <w:rsid w:val="00580BC1"/>
    <w:rsid w:val="0058379E"/>
    <w:rsid w:val="005A25F9"/>
    <w:rsid w:val="005A496D"/>
    <w:rsid w:val="005B1C05"/>
    <w:rsid w:val="005B4FEA"/>
    <w:rsid w:val="005B68C8"/>
    <w:rsid w:val="005C056B"/>
    <w:rsid w:val="005D4AD2"/>
    <w:rsid w:val="005E4E30"/>
    <w:rsid w:val="005F2FBE"/>
    <w:rsid w:val="005F3B66"/>
    <w:rsid w:val="005F5054"/>
    <w:rsid w:val="00600442"/>
    <w:rsid w:val="00602BEF"/>
    <w:rsid w:val="00604A3E"/>
    <w:rsid w:val="00606110"/>
    <w:rsid w:val="00612671"/>
    <w:rsid w:val="00612DF6"/>
    <w:rsid w:val="0061418E"/>
    <w:rsid w:val="006171A4"/>
    <w:rsid w:val="0061743E"/>
    <w:rsid w:val="00620F6C"/>
    <w:rsid w:val="00621752"/>
    <w:rsid w:val="00622429"/>
    <w:rsid w:val="00623E7D"/>
    <w:rsid w:val="006242B2"/>
    <w:rsid w:val="00627140"/>
    <w:rsid w:val="00627935"/>
    <w:rsid w:val="00630400"/>
    <w:rsid w:val="0063492E"/>
    <w:rsid w:val="00637B45"/>
    <w:rsid w:val="00642FCD"/>
    <w:rsid w:val="00645569"/>
    <w:rsid w:val="006458A9"/>
    <w:rsid w:val="0065067A"/>
    <w:rsid w:val="006531F4"/>
    <w:rsid w:val="006553E2"/>
    <w:rsid w:val="00657F54"/>
    <w:rsid w:val="00662D96"/>
    <w:rsid w:val="00666849"/>
    <w:rsid w:val="00666D9A"/>
    <w:rsid w:val="006714D3"/>
    <w:rsid w:val="00674BC0"/>
    <w:rsid w:val="006765AD"/>
    <w:rsid w:val="006770C0"/>
    <w:rsid w:val="006837C2"/>
    <w:rsid w:val="00684573"/>
    <w:rsid w:val="00696598"/>
    <w:rsid w:val="0069757B"/>
    <w:rsid w:val="00697814"/>
    <w:rsid w:val="006A0E11"/>
    <w:rsid w:val="006A28D3"/>
    <w:rsid w:val="006A29F3"/>
    <w:rsid w:val="006A4BA9"/>
    <w:rsid w:val="006A5D1D"/>
    <w:rsid w:val="006B4611"/>
    <w:rsid w:val="006B58B5"/>
    <w:rsid w:val="006B6C56"/>
    <w:rsid w:val="006C2ABE"/>
    <w:rsid w:val="006C372A"/>
    <w:rsid w:val="006C643E"/>
    <w:rsid w:val="006C65B8"/>
    <w:rsid w:val="006C6C46"/>
    <w:rsid w:val="006C703C"/>
    <w:rsid w:val="006C763B"/>
    <w:rsid w:val="006D2C4F"/>
    <w:rsid w:val="006D529B"/>
    <w:rsid w:val="006D7579"/>
    <w:rsid w:val="006E3925"/>
    <w:rsid w:val="006E699A"/>
    <w:rsid w:val="006E6B11"/>
    <w:rsid w:val="006F18BD"/>
    <w:rsid w:val="006F284A"/>
    <w:rsid w:val="006F390C"/>
    <w:rsid w:val="006F740B"/>
    <w:rsid w:val="00700AA4"/>
    <w:rsid w:val="00701C1F"/>
    <w:rsid w:val="007107DA"/>
    <w:rsid w:val="00711912"/>
    <w:rsid w:val="007136DF"/>
    <w:rsid w:val="00714E8A"/>
    <w:rsid w:val="0072065B"/>
    <w:rsid w:val="007213C1"/>
    <w:rsid w:val="00726690"/>
    <w:rsid w:val="007267AC"/>
    <w:rsid w:val="007272DD"/>
    <w:rsid w:val="0073155B"/>
    <w:rsid w:val="00737A33"/>
    <w:rsid w:val="00742322"/>
    <w:rsid w:val="00745E34"/>
    <w:rsid w:val="007471D0"/>
    <w:rsid w:val="00750839"/>
    <w:rsid w:val="00750E33"/>
    <w:rsid w:val="007516E0"/>
    <w:rsid w:val="00752614"/>
    <w:rsid w:val="00752B04"/>
    <w:rsid w:val="00756A77"/>
    <w:rsid w:val="007600F7"/>
    <w:rsid w:val="007614E3"/>
    <w:rsid w:val="007633E9"/>
    <w:rsid w:val="007649C3"/>
    <w:rsid w:val="00765990"/>
    <w:rsid w:val="00767EC7"/>
    <w:rsid w:val="007700AF"/>
    <w:rsid w:val="0077035B"/>
    <w:rsid w:val="007704B2"/>
    <w:rsid w:val="00772399"/>
    <w:rsid w:val="00774A09"/>
    <w:rsid w:val="00774DE5"/>
    <w:rsid w:val="007775C7"/>
    <w:rsid w:val="007821A0"/>
    <w:rsid w:val="00786942"/>
    <w:rsid w:val="00786D2F"/>
    <w:rsid w:val="007915A4"/>
    <w:rsid w:val="0079576E"/>
    <w:rsid w:val="00797265"/>
    <w:rsid w:val="007A2EBF"/>
    <w:rsid w:val="007A3215"/>
    <w:rsid w:val="007A4AE2"/>
    <w:rsid w:val="007A5687"/>
    <w:rsid w:val="007A7CB9"/>
    <w:rsid w:val="007B3015"/>
    <w:rsid w:val="007B3251"/>
    <w:rsid w:val="007B5DA9"/>
    <w:rsid w:val="007C0594"/>
    <w:rsid w:val="007C0B02"/>
    <w:rsid w:val="007C11D6"/>
    <w:rsid w:val="007C5262"/>
    <w:rsid w:val="007C60BB"/>
    <w:rsid w:val="007C791B"/>
    <w:rsid w:val="007D3CCF"/>
    <w:rsid w:val="007E0221"/>
    <w:rsid w:val="007E2FFE"/>
    <w:rsid w:val="007E37DB"/>
    <w:rsid w:val="007E3DEC"/>
    <w:rsid w:val="007E6028"/>
    <w:rsid w:val="007F4690"/>
    <w:rsid w:val="007F4818"/>
    <w:rsid w:val="007F6D3A"/>
    <w:rsid w:val="00801954"/>
    <w:rsid w:val="0080460A"/>
    <w:rsid w:val="00807C6B"/>
    <w:rsid w:val="00810776"/>
    <w:rsid w:val="00811C7F"/>
    <w:rsid w:val="00813B6E"/>
    <w:rsid w:val="008146C3"/>
    <w:rsid w:val="008211E7"/>
    <w:rsid w:val="00821790"/>
    <w:rsid w:val="00826AEF"/>
    <w:rsid w:val="0083134C"/>
    <w:rsid w:val="0083324D"/>
    <w:rsid w:val="008401CA"/>
    <w:rsid w:val="00843FBE"/>
    <w:rsid w:val="00851658"/>
    <w:rsid w:val="0085220A"/>
    <w:rsid w:val="008566DC"/>
    <w:rsid w:val="0086585F"/>
    <w:rsid w:val="00874F23"/>
    <w:rsid w:val="00876517"/>
    <w:rsid w:val="00876A45"/>
    <w:rsid w:val="00876EE9"/>
    <w:rsid w:val="00882B0C"/>
    <w:rsid w:val="00892566"/>
    <w:rsid w:val="008949A8"/>
    <w:rsid w:val="008A23D5"/>
    <w:rsid w:val="008B0762"/>
    <w:rsid w:val="008B316F"/>
    <w:rsid w:val="008B532C"/>
    <w:rsid w:val="008B66D9"/>
    <w:rsid w:val="008B6E9F"/>
    <w:rsid w:val="008C3F4D"/>
    <w:rsid w:val="008C73B2"/>
    <w:rsid w:val="008D10EA"/>
    <w:rsid w:val="008D19F7"/>
    <w:rsid w:val="008D1AA9"/>
    <w:rsid w:val="008E089E"/>
    <w:rsid w:val="008E2007"/>
    <w:rsid w:val="008E2815"/>
    <w:rsid w:val="008E30E1"/>
    <w:rsid w:val="008E5274"/>
    <w:rsid w:val="008F01D1"/>
    <w:rsid w:val="008F3434"/>
    <w:rsid w:val="008F5E60"/>
    <w:rsid w:val="00900782"/>
    <w:rsid w:val="0090169F"/>
    <w:rsid w:val="00901B96"/>
    <w:rsid w:val="009053EB"/>
    <w:rsid w:val="0090614C"/>
    <w:rsid w:val="0090632A"/>
    <w:rsid w:val="00910B12"/>
    <w:rsid w:val="00916253"/>
    <w:rsid w:val="00916619"/>
    <w:rsid w:val="00917032"/>
    <w:rsid w:val="00917F4C"/>
    <w:rsid w:val="00922DE4"/>
    <w:rsid w:val="009230EE"/>
    <w:rsid w:val="0092390D"/>
    <w:rsid w:val="009252F5"/>
    <w:rsid w:val="0092547C"/>
    <w:rsid w:val="00932B5C"/>
    <w:rsid w:val="00932C0F"/>
    <w:rsid w:val="00934495"/>
    <w:rsid w:val="009344F6"/>
    <w:rsid w:val="00937A51"/>
    <w:rsid w:val="0094125D"/>
    <w:rsid w:val="009454D5"/>
    <w:rsid w:val="00951A24"/>
    <w:rsid w:val="009542FE"/>
    <w:rsid w:val="00956FD5"/>
    <w:rsid w:val="00957A53"/>
    <w:rsid w:val="00960932"/>
    <w:rsid w:val="009617F7"/>
    <w:rsid w:val="00966888"/>
    <w:rsid w:val="009675D6"/>
    <w:rsid w:val="00971CF3"/>
    <w:rsid w:val="00975EF1"/>
    <w:rsid w:val="00976BCF"/>
    <w:rsid w:val="009812B4"/>
    <w:rsid w:val="00984AB5"/>
    <w:rsid w:val="0098521B"/>
    <w:rsid w:val="00985984"/>
    <w:rsid w:val="0098793B"/>
    <w:rsid w:val="00994AA5"/>
    <w:rsid w:val="009957D3"/>
    <w:rsid w:val="0099625F"/>
    <w:rsid w:val="009A0D69"/>
    <w:rsid w:val="009A2F83"/>
    <w:rsid w:val="009B0B89"/>
    <w:rsid w:val="009B2731"/>
    <w:rsid w:val="009C0F9B"/>
    <w:rsid w:val="009C2E2E"/>
    <w:rsid w:val="009D157C"/>
    <w:rsid w:val="009D2ECF"/>
    <w:rsid w:val="009D38C4"/>
    <w:rsid w:val="009D4533"/>
    <w:rsid w:val="009E0C70"/>
    <w:rsid w:val="009F4C6B"/>
    <w:rsid w:val="00A0452B"/>
    <w:rsid w:val="00A05775"/>
    <w:rsid w:val="00A11F01"/>
    <w:rsid w:val="00A11F33"/>
    <w:rsid w:val="00A12240"/>
    <w:rsid w:val="00A14681"/>
    <w:rsid w:val="00A1763C"/>
    <w:rsid w:val="00A2458F"/>
    <w:rsid w:val="00A24EF8"/>
    <w:rsid w:val="00A259F6"/>
    <w:rsid w:val="00A27DFC"/>
    <w:rsid w:val="00A3212C"/>
    <w:rsid w:val="00A334F8"/>
    <w:rsid w:val="00A40FAB"/>
    <w:rsid w:val="00A41E8D"/>
    <w:rsid w:val="00A42E9B"/>
    <w:rsid w:val="00A43CD9"/>
    <w:rsid w:val="00A471E3"/>
    <w:rsid w:val="00A47453"/>
    <w:rsid w:val="00A478E0"/>
    <w:rsid w:val="00A50B02"/>
    <w:rsid w:val="00A520C3"/>
    <w:rsid w:val="00A529D7"/>
    <w:rsid w:val="00A56C1A"/>
    <w:rsid w:val="00A57883"/>
    <w:rsid w:val="00A6129B"/>
    <w:rsid w:val="00A613E3"/>
    <w:rsid w:val="00A6426F"/>
    <w:rsid w:val="00A64841"/>
    <w:rsid w:val="00A64DE9"/>
    <w:rsid w:val="00A66B2A"/>
    <w:rsid w:val="00A81113"/>
    <w:rsid w:val="00A84F9F"/>
    <w:rsid w:val="00A8591A"/>
    <w:rsid w:val="00A87589"/>
    <w:rsid w:val="00A9218C"/>
    <w:rsid w:val="00AA4478"/>
    <w:rsid w:val="00AA680D"/>
    <w:rsid w:val="00AA6FBF"/>
    <w:rsid w:val="00AB3703"/>
    <w:rsid w:val="00AB563C"/>
    <w:rsid w:val="00AB7E32"/>
    <w:rsid w:val="00AC0988"/>
    <w:rsid w:val="00AC2DD3"/>
    <w:rsid w:val="00AC3189"/>
    <w:rsid w:val="00AC69E6"/>
    <w:rsid w:val="00AC6F9D"/>
    <w:rsid w:val="00AD3E94"/>
    <w:rsid w:val="00AD46C0"/>
    <w:rsid w:val="00AD5C1E"/>
    <w:rsid w:val="00AE4F09"/>
    <w:rsid w:val="00AE60D7"/>
    <w:rsid w:val="00AF14E6"/>
    <w:rsid w:val="00AF2813"/>
    <w:rsid w:val="00AF2D13"/>
    <w:rsid w:val="00AF4A59"/>
    <w:rsid w:val="00AF5D83"/>
    <w:rsid w:val="00AF704B"/>
    <w:rsid w:val="00B00273"/>
    <w:rsid w:val="00B01355"/>
    <w:rsid w:val="00B01513"/>
    <w:rsid w:val="00B027FA"/>
    <w:rsid w:val="00B05AC9"/>
    <w:rsid w:val="00B11EB4"/>
    <w:rsid w:val="00B13839"/>
    <w:rsid w:val="00B15B7F"/>
    <w:rsid w:val="00B2082D"/>
    <w:rsid w:val="00B22681"/>
    <w:rsid w:val="00B24FD8"/>
    <w:rsid w:val="00B25272"/>
    <w:rsid w:val="00B27F29"/>
    <w:rsid w:val="00B42435"/>
    <w:rsid w:val="00B42562"/>
    <w:rsid w:val="00B439C5"/>
    <w:rsid w:val="00B440E4"/>
    <w:rsid w:val="00B4578C"/>
    <w:rsid w:val="00B46C21"/>
    <w:rsid w:val="00B5327F"/>
    <w:rsid w:val="00B55578"/>
    <w:rsid w:val="00B56DDE"/>
    <w:rsid w:val="00B644A8"/>
    <w:rsid w:val="00B65E50"/>
    <w:rsid w:val="00B679C0"/>
    <w:rsid w:val="00B67A38"/>
    <w:rsid w:val="00B708AB"/>
    <w:rsid w:val="00B80B7C"/>
    <w:rsid w:val="00B82936"/>
    <w:rsid w:val="00B82A3E"/>
    <w:rsid w:val="00B82D6B"/>
    <w:rsid w:val="00B843EA"/>
    <w:rsid w:val="00B84DDB"/>
    <w:rsid w:val="00B87CB5"/>
    <w:rsid w:val="00B9165A"/>
    <w:rsid w:val="00B967A6"/>
    <w:rsid w:val="00B9789D"/>
    <w:rsid w:val="00B97C07"/>
    <w:rsid w:val="00BA3E29"/>
    <w:rsid w:val="00BA6502"/>
    <w:rsid w:val="00BB1C88"/>
    <w:rsid w:val="00BB5E61"/>
    <w:rsid w:val="00BC052F"/>
    <w:rsid w:val="00BC1598"/>
    <w:rsid w:val="00BC3113"/>
    <w:rsid w:val="00BC33B4"/>
    <w:rsid w:val="00BC4149"/>
    <w:rsid w:val="00BC4CF2"/>
    <w:rsid w:val="00BD305E"/>
    <w:rsid w:val="00BD516B"/>
    <w:rsid w:val="00BD591A"/>
    <w:rsid w:val="00BD6151"/>
    <w:rsid w:val="00BE0546"/>
    <w:rsid w:val="00BE2ABC"/>
    <w:rsid w:val="00BE3003"/>
    <w:rsid w:val="00BE5851"/>
    <w:rsid w:val="00BF1072"/>
    <w:rsid w:val="00BF3C6A"/>
    <w:rsid w:val="00BF7458"/>
    <w:rsid w:val="00BF77FA"/>
    <w:rsid w:val="00C058FA"/>
    <w:rsid w:val="00C10C63"/>
    <w:rsid w:val="00C11D77"/>
    <w:rsid w:val="00C14A5F"/>
    <w:rsid w:val="00C214A0"/>
    <w:rsid w:val="00C21A25"/>
    <w:rsid w:val="00C22D90"/>
    <w:rsid w:val="00C22F58"/>
    <w:rsid w:val="00C262F7"/>
    <w:rsid w:val="00C3295A"/>
    <w:rsid w:val="00C42A8E"/>
    <w:rsid w:val="00C4424B"/>
    <w:rsid w:val="00C44804"/>
    <w:rsid w:val="00C44E9C"/>
    <w:rsid w:val="00C471B1"/>
    <w:rsid w:val="00C51AC5"/>
    <w:rsid w:val="00C61B17"/>
    <w:rsid w:val="00C64B50"/>
    <w:rsid w:val="00C74E75"/>
    <w:rsid w:val="00C75254"/>
    <w:rsid w:val="00C7588E"/>
    <w:rsid w:val="00C84F6A"/>
    <w:rsid w:val="00C85BEC"/>
    <w:rsid w:val="00C85DA2"/>
    <w:rsid w:val="00C86F7D"/>
    <w:rsid w:val="00C91E17"/>
    <w:rsid w:val="00C94B23"/>
    <w:rsid w:val="00C959DD"/>
    <w:rsid w:val="00C9776F"/>
    <w:rsid w:val="00CA16E6"/>
    <w:rsid w:val="00CA25A0"/>
    <w:rsid w:val="00CB2912"/>
    <w:rsid w:val="00CB5926"/>
    <w:rsid w:val="00CC2F26"/>
    <w:rsid w:val="00CC3871"/>
    <w:rsid w:val="00CC4D07"/>
    <w:rsid w:val="00CE0D47"/>
    <w:rsid w:val="00CE17CB"/>
    <w:rsid w:val="00CE2679"/>
    <w:rsid w:val="00CE43E1"/>
    <w:rsid w:val="00CE7B46"/>
    <w:rsid w:val="00CF5692"/>
    <w:rsid w:val="00D00CE5"/>
    <w:rsid w:val="00D03C04"/>
    <w:rsid w:val="00D03D17"/>
    <w:rsid w:val="00D03F4F"/>
    <w:rsid w:val="00D05872"/>
    <w:rsid w:val="00D06032"/>
    <w:rsid w:val="00D105C2"/>
    <w:rsid w:val="00D12069"/>
    <w:rsid w:val="00D12669"/>
    <w:rsid w:val="00D17FDD"/>
    <w:rsid w:val="00D20758"/>
    <w:rsid w:val="00D21F0B"/>
    <w:rsid w:val="00D23245"/>
    <w:rsid w:val="00D23BF5"/>
    <w:rsid w:val="00D24B73"/>
    <w:rsid w:val="00D34D2C"/>
    <w:rsid w:val="00D36A8B"/>
    <w:rsid w:val="00D41028"/>
    <w:rsid w:val="00D4140B"/>
    <w:rsid w:val="00D4403D"/>
    <w:rsid w:val="00D518C1"/>
    <w:rsid w:val="00D53FCC"/>
    <w:rsid w:val="00D54FA0"/>
    <w:rsid w:val="00D60932"/>
    <w:rsid w:val="00D615B3"/>
    <w:rsid w:val="00D619BC"/>
    <w:rsid w:val="00D627E3"/>
    <w:rsid w:val="00D673B4"/>
    <w:rsid w:val="00D71948"/>
    <w:rsid w:val="00D728B4"/>
    <w:rsid w:val="00D73928"/>
    <w:rsid w:val="00D74271"/>
    <w:rsid w:val="00D74C41"/>
    <w:rsid w:val="00D75C53"/>
    <w:rsid w:val="00D75F54"/>
    <w:rsid w:val="00D86813"/>
    <w:rsid w:val="00D86D57"/>
    <w:rsid w:val="00D91A7E"/>
    <w:rsid w:val="00D923DA"/>
    <w:rsid w:val="00D92C7F"/>
    <w:rsid w:val="00D948D1"/>
    <w:rsid w:val="00D97ECB"/>
    <w:rsid w:val="00DA544D"/>
    <w:rsid w:val="00DA7AE1"/>
    <w:rsid w:val="00DB3AF6"/>
    <w:rsid w:val="00DB3B77"/>
    <w:rsid w:val="00DB40AE"/>
    <w:rsid w:val="00DB4227"/>
    <w:rsid w:val="00DB588B"/>
    <w:rsid w:val="00DB598E"/>
    <w:rsid w:val="00DC0E80"/>
    <w:rsid w:val="00DC134B"/>
    <w:rsid w:val="00DD0F6C"/>
    <w:rsid w:val="00DD3839"/>
    <w:rsid w:val="00DD50B1"/>
    <w:rsid w:val="00DD5106"/>
    <w:rsid w:val="00DD713F"/>
    <w:rsid w:val="00DD7FB6"/>
    <w:rsid w:val="00DE0930"/>
    <w:rsid w:val="00DE4D04"/>
    <w:rsid w:val="00DE6824"/>
    <w:rsid w:val="00DE6A6E"/>
    <w:rsid w:val="00DF3EBE"/>
    <w:rsid w:val="00DF55A0"/>
    <w:rsid w:val="00DF772E"/>
    <w:rsid w:val="00E066CB"/>
    <w:rsid w:val="00E1325C"/>
    <w:rsid w:val="00E13E71"/>
    <w:rsid w:val="00E160BF"/>
    <w:rsid w:val="00E17D09"/>
    <w:rsid w:val="00E21DBC"/>
    <w:rsid w:val="00E22C4F"/>
    <w:rsid w:val="00E23207"/>
    <w:rsid w:val="00E2385F"/>
    <w:rsid w:val="00E23969"/>
    <w:rsid w:val="00E258DB"/>
    <w:rsid w:val="00E368F9"/>
    <w:rsid w:val="00E407BF"/>
    <w:rsid w:val="00E41BED"/>
    <w:rsid w:val="00E43366"/>
    <w:rsid w:val="00E438D6"/>
    <w:rsid w:val="00E518F1"/>
    <w:rsid w:val="00E57CC6"/>
    <w:rsid w:val="00E60AE1"/>
    <w:rsid w:val="00E63E6C"/>
    <w:rsid w:val="00E75928"/>
    <w:rsid w:val="00E80858"/>
    <w:rsid w:val="00E851F7"/>
    <w:rsid w:val="00E85CB2"/>
    <w:rsid w:val="00E90BE0"/>
    <w:rsid w:val="00E92C88"/>
    <w:rsid w:val="00E933A6"/>
    <w:rsid w:val="00EB31F0"/>
    <w:rsid w:val="00EB4230"/>
    <w:rsid w:val="00EB5CF2"/>
    <w:rsid w:val="00EB609F"/>
    <w:rsid w:val="00EC3F6D"/>
    <w:rsid w:val="00EC606A"/>
    <w:rsid w:val="00EC6EDB"/>
    <w:rsid w:val="00ED1A96"/>
    <w:rsid w:val="00ED5130"/>
    <w:rsid w:val="00EE2D9D"/>
    <w:rsid w:val="00EE4B5C"/>
    <w:rsid w:val="00EE5BAE"/>
    <w:rsid w:val="00EF33E1"/>
    <w:rsid w:val="00F0154F"/>
    <w:rsid w:val="00F05465"/>
    <w:rsid w:val="00F062E8"/>
    <w:rsid w:val="00F10A7B"/>
    <w:rsid w:val="00F11131"/>
    <w:rsid w:val="00F137CB"/>
    <w:rsid w:val="00F17DA4"/>
    <w:rsid w:val="00F2433B"/>
    <w:rsid w:val="00F35B37"/>
    <w:rsid w:val="00F54B35"/>
    <w:rsid w:val="00F554E9"/>
    <w:rsid w:val="00F55777"/>
    <w:rsid w:val="00F621A4"/>
    <w:rsid w:val="00F65F50"/>
    <w:rsid w:val="00F66E50"/>
    <w:rsid w:val="00F73189"/>
    <w:rsid w:val="00F75CD1"/>
    <w:rsid w:val="00F77043"/>
    <w:rsid w:val="00F779FD"/>
    <w:rsid w:val="00F82278"/>
    <w:rsid w:val="00F82BD9"/>
    <w:rsid w:val="00F83A2A"/>
    <w:rsid w:val="00F853E5"/>
    <w:rsid w:val="00F868A1"/>
    <w:rsid w:val="00F90D37"/>
    <w:rsid w:val="00F92795"/>
    <w:rsid w:val="00F9602B"/>
    <w:rsid w:val="00F96990"/>
    <w:rsid w:val="00F97721"/>
    <w:rsid w:val="00F979FC"/>
    <w:rsid w:val="00FA10C9"/>
    <w:rsid w:val="00FA6BB2"/>
    <w:rsid w:val="00FA6CB8"/>
    <w:rsid w:val="00FB2FD3"/>
    <w:rsid w:val="00FB3510"/>
    <w:rsid w:val="00FB3F89"/>
    <w:rsid w:val="00FB46AE"/>
    <w:rsid w:val="00FC2D54"/>
    <w:rsid w:val="00FC67BA"/>
    <w:rsid w:val="00FC682D"/>
    <w:rsid w:val="00FD168D"/>
    <w:rsid w:val="00FD21F1"/>
    <w:rsid w:val="00FD398D"/>
    <w:rsid w:val="00FD525C"/>
    <w:rsid w:val="00FE065D"/>
    <w:rsid w:val="00FE236C"/>
    <w:rsid w:val="00FE4EAD"/>
    <w:rsid w:val="00FF1D54"/>
    <w:rsid w:val="00FF1E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3E0A2B21"/>
  <w15:chartTrackingRefBased/>
  <w15:docId w15:val="{BD58FDEE-564E-4442-8845-028C44556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5687"/>
  </w:style>
  <w:style w:type="paragraph" w:styleId="Heading1">
    <w:name w:val="heading 1"/>
    <w:basedOn w:val="Normal"/>
    <w:next w:val="Normal"/>
    <w:qFormat/>
    <w:pPr>
      <w:keepNext/>
      <w:tabs>
        <w:tab w:val="right" w:pos="9600"/>
      </w:tabs>
      <w:spacing w:after="120"/>
      <w:jc w:val="center"/>
      <w:outlineLvl w:val="0"/>
    </w:pPr>
    <w:rPr>
      <w:b/>
      <w:sz w:val="22"/>
    </w:rPr>
  </w:style>
  <w:style w:type="paragraph" w:styleId="Heading2">
    <w:name w:val="heading 2"/>
    <w:basedOn w:val="Normal"/>
    <w:next w:val="Normal"/>
    <w:qFormat/>
    <w:pPr>
      <w:keepNext/>
      <w:spacing w:after="120"/>
      <w:jc w:val="center"/>
      <w:outlineLvl w:val="1"/>
    </w:pPr>
    <w:rPr>
      <w:b/>
      <w:u w:val="single"/>
    </w:rPr>
  </w:style>
  <w:style w:type="paragraph" w:styleId="Heading3">
    <w:name w:val="heading 3"/>
    <w:basedOn w:val="Normal"/>
    <w:next w:val="Normal"/>
    <w:link w:val="Heading3Char"/>
    <w:qFormat/>
    <w:rsid w:val="00176CA2"/>
    <w:pPr>
      <w:keepNext/>
      <w:spacing w:before="240" w:after="60"/>
      <w:ind w:left="2160" w:hanging="720"/>
      <w:outlineLvl w:val="2"/>
    </w:pPr>
    <w:rPr>
      <w:b/>
      <w:sz w:val="24"/>
    </w:rPr>
  </w:style>
  <w:style w:type="paragraph" w:styleId="Heading4">
    <w:name w:val="heading 4"/>
    <w:basedOn w:val="Normal"/>
    <w:next w:val="Normal"/>
    <w:link w:val="Heading4Char"/>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DE6A6E"/>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176CA2"/>
    <w:pPr>
      <w:spacing w:before="240" w:after="60"/>
      <w:ind w:left="4320" w:hanging="720"/>
      <w:outlineLvl w:val="5"/>
    </w:pPr>
    <w:rPr>
      <w:rFonts w:ascii="Arial" w:hAnsi="Arial"/>
      <w:i/>
      <w:sz w:val="22"/>
    </w:rPr>
  </w:style>
  <w:style w:type="paragraph" w:styleId="Heading7">
    <w:name w:val="heading 7"/>
    <w:basedOn w:val="Normal"/>
    <w:next w:val="Normal"/>
    <w:link w:val="Heading7Char"/>
    <w:qFormat/>
    <w:rsid w:val="00176CA2"/>
    <w:pPr>
      <w:spacing w:before="240" w:after="60"/>
      <w:ind w:left="5040" w:hanging="720"/>
      <w:outlineLvl w:val="6"/>
    </w:pPr>
    <w:rPr>
      <w:rFonts w:ascii="Arial" w:hAnsi="Arial"/>
    </w:rPr>
  </w:style>
  <w:style w:type="paragraph" w:styleId="Heading8">
    <w:name w:val="heading 8"/>
    <w:basedOn w:val="Normal"/>
    <w:next w:val="Normal"/>
    <w:link w:val="Heading8Char"/>
    <w:qFormat/>
    <w:rsid w:val="00176CA2"/>
    <w:pPr>
      <w:spacing w:before="240" w:after="60"/>
      <w:ind w:left="5760" w:hanging="720"/>
      <w:outlineLvl w:val="7"/>
    </w:pPr>
    <w:rPr>
      <w:rFonts w:ascii="Arial" w:hAnsi="Arial"/>
      <w:i/>
    </w:rPr>
  </w:style>
  <w:style w:type="paragraph" w:styleId="Heading9">
    <w:name w:val="heading 9"/>
    <w:basedOn w:val="Normal"/>
    <w:next w:val="Normal"/>
    <w:link w:val="Heading9Char"/>
    <w:qFormat/>
    <w:rsid w:val="00176CA2"/>
    <w:pPr>
      <w:spacing w:before="240" w:after="60"/>
      <w:ind w:left="6480" w:hanging="72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20" w:after="120"/>
      <w:ind w:firstLine="360"/>
    </w:pPr>
  </w:style>
  <w:style w:type="paragraph" w:styleId="Header">
    <w:name w:val="header"/>
    <w:basedOn w:val="Normal"/>
    <w:link w:val="HeaderChar"/>
    <w:pPr>
      <w:tabs>
        <w:tab w:val="center" w:pos="4320"/>
        <w:tab w:val="right" w:pos="8640"/>
      </w:tabs>
    </w:pPr>
    <w:rPr>
      <w:rFonts w:ascii="Courier New" w:hAnsi="Courier New"/>
    </w:rPr>
  </w:style>
  <w:style w:type="paragraph" w:styleId="Footer">
    <w:name w:val="footer"/>
    <w:basedOn w:val="Normal"/>
    <w:pPr>
      <w:tabs>
        <w:tab w:val="center" w:pos="4320"/>
        <w:tab w:val="right" w:pos="8640"/>
      </w:tabs>
    </w:pPr>
  </w:style>
  <w:style w:type="paragraph" w:styleId="Title">
    <w:name w:val="Title"/>
    <w:basedOn w:val="Normal"/>
    <w:qFormat/>
    <w:pPr>
      <w:tabs>
        <w:tab w:val="right" w:pos="9600"/>
      </w:tabs>
      <w:spacing w:after="240"/>
      <w:jc w:val="center"/>
    </w:pPr>
    <w:rPr>
      <w:b/>
      <w:sz w:val="22"/>
    </w:rPr>
  </w:style>
  <w:style w:type="paragraph" w:styleId="BodyText">
    <w:name w:val="Body Text"/>
    <w:basedOn w:val="Normal"/>
    <w:pPr>
      <w:spacing w:after="120"/>
      <w:jc w:val="both"/>
    </w:pPr>
  </w:style>
  <w:style w:type="paragraph" w:styleId="BodyText2">
    <w:name w:val="Body Text 2"/>
    <w:basedOn w:val="Normal"/>
    <w:pPr>
      <w:spacing w:after="120"/>
      <w:ind w:left="720" w:hanging="360"/>
    </w:pPr>
    <w:rPr>
      <w:sz w:val="22"/>
    </w:rPr>
  </w:style>
  <w:style w:type="paragraph" w:customStyle="1" w:styleId="Style4">
    <w:name w:val="Style4"/>
    <w:next w:val="Normal"/>
    <w:rPr>
      <w:noProof/>
      <w:sz w:val="24"/>
    </w:rPr>
  </w:style>
  <w:style w:type="character" w:styleId="Hyperlink">
    <w:name w:val="Hyperlink"/>
    <w:rsid w:val="004514C5"/>
    <w:rPr>
      <w:color w:val="0000FF"/>
      <w:u w:val="single"/>
    </w:rPr>
  </w:style>
  <w:style w:type="character" w:styleId="PageNumber">
    <w:name w:val="page number"/>
    <w:basedOn w:val="DefaultParagraphFont"/>
    <w:rsid w:val="00431B1F"/>
  </w:style>
  <w:style w:type="character" w:customStyle="1" w:styleId="Heading4Char">
    <w:name w:val="Heading 4 Char"/>
    <w:link w:val="Heading4"/>
    <w:semiHidden/>
    <w:rsid w:val="00DE6A6E"/>
    <w:rPr>
      <w:rFonts w:ascii="Calibri" w:hAnsi="Calibri"/>
      <w:b/>
      <w:bCs/>
      <w:sz w:val="28"/>
      <w:szCs w:val="28"/>
    </w:rPr>
  </w:style>
  <w:style w:type="character" w:customStyle="1" w:styleId="Heading5Char">
    <w:name w:val="Heading 5 Char"/>
    <w:link w:val="Heading5"/>
    <w:semiHidden/>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Heading3Char">
    <w:name w:val="Heading 3 Char"/>
    <w:basedOn w:val="DefaultParagraphFont"/>
    <w:link w:val="Heading3"/>
    <w:rsid w:val="00176CA2"/>
    <w:rPr>
      <w:b/>
      <w:sz w:val="24"/>
    </w:rPr>
  </w:style>
  <w:style w:type="character" w:customStyle="1" w:styleId="Heading6Char">
    <w:name w:val="Heading 6 Char"/>
    <w:basedOn w:val="DefaultParagraphFont"/>
    <w:link w:val="Heading6"/>
    <w:rsid w:val="00176CA2"/>
    <w:rPr>
      <w:rFonts w:ascii="Arial" w:hAnsi="Arial"/>
      <w:i/>
      <w:sz w:val="22"/>
    </w:rPr>
  </w:style>
  <w:style w:type="character" w:customStyle="1" w:styleId="Heading7Char">
    <w:name w:val="Heading 7 Char"/>
    <w:basedOn w:val="DefaultParagraphFont"/>
    <w:link w:val="Heading7"/>
    <w:rsid w:val="00176CA2"/>
    <w:rPr>
      <w:rFonts w:ascii="Arial" w:hAnsi="Arial"/>
    </w:rPr>
  </w:style>
  <w:style w:type="character" w:customStyle="1" w:styleId="Heading8Char">
    <w:name w:val="Heading 8 Char"/>
    <w:basedOn w:val="DefaultParagraphFont"/>
    <w:link w:val="Heading8"/>
    <w:rsid w:val="00176CA2"/>
    <w:rPr>
      <w:rFonts w:ascii="Arial" w:hAnsi="Arial"/>
      <w:i/>
    </w:rPr>
  </w:style>
  <w:style w:type="character" w:customStyle="1" w:styleId="Heading9Char">
    <w:name w:val="Heading 9 Char"/>
    <w:basedOn w:val="DefaultParagraphFont"/>
    <w:link w:val="Heading9"/>
    <w:rsid w:val="00176CA2"/>
    <w:rPr>
      <w:rFonts w:ascii="Arial" w:hAnsi="Arial"/>
      <w:i/>
      <w:sz w:val="18"/>
    </w:rPr>
  </w:style>
  <w:style w:type="table" w:styleId="TableGrid">
    <w:name w:val="Table Grid"/>
    <w:basedOn w:val="TableNormal"/>
    <w:rsid w:val="007C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3134C"/>
    <w:rPr>
      <w:color w:val="808080"/>
      <w:shd w:val="clear" w:color="auto" w:fill="E6E6E6"/>
    </w:rPr>
  </w:style>
  <w:style w:type="paragraph" w:styleId="ListParagraph">
    <w:name w:val="List Paragraph"/>
    <w:basedOn w:val="Normal"/>
    <w:uiPriority w:val="34"/>
    <w:qFormat/>
    <w:rsid w:val="007F6D3A"/>
    <w:pPr>
      <w:ind w:left="720"/>
      <w:contextualSpacing/>
    </w:pPr>
  </w:style>
  <w:style w:type="character" w:styleId="PlaceholderText">
    <w:name w:val="Placeholder Text"/>
    <w:basedOn w:val="DefaultParagraphFont"/>
    <w:uiPriority w:val="99"/>
    <w:semiHidden/>
    <w:rsid w:val="00BF3C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Aprea@pbcwater.com"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RWMcClung@pbcwater.com" TargetMode="External"/><Relationship Id="rId17" Type="http://schemas.openxmlformats.org/officeDocument/2006/relationships/header" Target="header2.xml"/><Relationship Id="rId25" Type="http://schemas.openxmlformats.org/officeDocument/2006/relationships/hyperlink" Target="mailto:eaor@dep.state.fl.us" TargetMode="External"/><Relationship Id="rId33" Type="http://schemas.openxmlformats.org/officeDocument/2006/relationships/header" Target="header1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ynn.Scearce@floridadep.gov" TargetMode="External"/><Relationship Id="rId20" Type="http://schemas.openxmlformats.org/officeDocument/2006/relationships/header" Target="head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brown@pbcwater.com" TargetMode="External"/><Relationship Id="rId24" Type="http://schemas.openxmlformats.org/officeDocument/2006/relationships/hyperlink" Target="http://www.dep.state.fl.us/air/emission/eaor" TargetMode="External"/><Relationship Id="rId32" Type="http://schemas.openxmlformats.org/officeDocument/2006/relationships/header" Target="header1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ED.AIR@floridadep.gov" TargetMode="External"/><Relationship Id="rId23" Type="http://schemas.openxmlformats.org/officeDocument/2006/relationships/hyperlink" Target="mailto:SED.AIR@dep.state.fl.us" TargetMode="External"/><Relationship Id="rId28" Type="http://schemas.openxmlformats.org/officeDocument/2006/relationships/header" Target="header8.xml"/><Relationship Id="rId36" Type="http://schemas.openxmlformats.org/officeDocument/2006/relationships/footer" Target="footer5.xml"/><Relationship Id="rId10" Type="http://schemas.openxmlformats.org/officeDocument/2006/relationships/hyperlink" Target="mailto:hhadjimiry@pbcwater.com" TargetMode="External"/><Relationship Id="rId19" Type="http://schemas.openxmlformats.org/officeDocument/2006/relationships/header" Target="header3.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Dalton@pbcwater.com"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header" Target="header1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CBB8A-82C5-44C9-BBB1-975016B46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3717</TotalTime>
  <Pages>19</Pages>
  <Words>7180</Words>
  <Characters>40726</Characters>
  <Application>Microsoft Office Word</Application>
  <DocSecurity>0</DocSecurity>
  <Lines>626</Lines>
  <Paragraphs>278</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47628</CharactersWithSpaces>
  <SharedDoc>false</SharedDoc>
  <HLinks>
    <vt:vector size="18" baseType="variant">
      <vt:variant>
        <vt:i4>8257539</vt:i4>
      </vt:variant>
      <vt:variant>
        <vt:i4>6</vt:i4>
      </vt:variant>
      <vt:variant>
        <vt:i4>0</vt:i4>
      </vt:variant>
      <vt:variant>
        <vt:i4>5</vt:i4>
      </vt:variant>
      <vt:variant>
        <vt:lpwstr>mailto:hazziez.natasha@epa.gov</vt:lpwstr>
      </vt:variant>
      <vt:variant>
        <vt:lpwstr/>
      </vt:variant>
      <vt:variant>
        <vt:i4>7077899</vt:i4>
      </vt:variant>
      <vt:variant>
        <vt:i4>3</vt:i4>
      </vt:variant>
      <vt:variant>
        <vt:i4>0</vt:i4>
      </vt:variant>
      <vt:variant>
        <vt:i4>5</vt:i4>
      </vt:variant>
      <vt:variant>
        <vt:lpwstr>mailto:oquendo.ana@epa.gov</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keywords/>
  <cp:lastModifiedBy>Read, David</cp:lastModifiedBy>
  <cp:revision>552</cp:revision>
  <cp:lastPrinted>2009-03-05T19:03:00Z</cp:lastPrinted>
  <dcterms:created xsi:type="dcterms:W3CDTF">2015-02-24T19:20:00Z</dcterms:created>
  <dcterms:modified xsi:type="dcterms:W3CDTF">2018-05-23T16:00:00Z</dcterms:modified>
</cp:coreProperties>
</file>